
<file path=[Content_Types].xml><?xml version="1.0" encoding="utf-8"?>
<Types xmlns="http://schemas.openxmlformats.org/package/2006/content-types">
  <Default Extension="xml" ContentType="application/xml"/>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rPr>
          <w:rFonts w:hint="eastAsia" w:ascii="方正小标宋简体" w:hAnsi="方正小标宋简体" w:eastAsia="方正小标宋简体" w:cs="方正小标宋简体"/>
          <w:b w:val="0"/>
          <w:bCs w:val="0"/>
          <w:color w:val="auto"/>
          <w:kern w:val="2"/>
          <w:sz w:val="44"/>
          <w:szCs w:val="44"/>
          <w:u w:val="none"/>
          <w:shd w:val="clear"/>
          <w:lang w:val="en-US" w:eastAsia="zh-CN"/>
        </w:rPr>
      </w:pPr>
      <w:bookmarkStart w:id="0" w:name="_Toc26884"/>
      <w:bookmarkStart w:id="1" w:name="_Toc254"/>
      <w:bookmarkStart w:id="2" w:name="_Toc14424"/>
      <w:bookmarkStart w:id="3" w:name="_Toc31749"/>
      <w:bookmarkStart w:id="4" w:name="_Toc3536"/>
      <w:bookmarkStart w:id="5" w:name="_Toc522810477"/>
      <w:bookmarkStart w:id="6" w:name="_Toc523065096"/>
      <w:bookmarkStart w:id="7" w:name="_Toc3962"/>
      <w:bookmarkStart w:id="8" w:name="_Toc523065479"/>
      <w:bookmarkStart w:id="9" w:name="_Toc524592168"/>
      <w:bookmarkStart w:id="10" w:name="_Toc524592645"/>
      <w:bookmarkStart w:id="11" w:name="_Toc523065367"/>
      <w:bookmarkStart w:id="12" w:name="_Toc20657"/>
      <w:bookmarkStart w:id="13" w:name="_Toc423375716"/>
      <w:bookmarkStart w:id="14" w:name="_Toc2593"/>
      <w:bookmarkStart w:id="15" w:name="_Toc345684775"/>
      <w:bookmarkStart w:id="16" w:name="_Toc345543236"/>
      <w:bookmarkStart w:id="17" w:name="_Toc24171"/>
      <w:bookmarkStart w:id="18" w:name="_Toc375829655"/>
      <w:bookmarkStart w:id="19" w:name="_Toc375829966"/>
      <w:bookmarkStart w:id="20" w:name="_Toc30134"/>
      <w:bookmarkStart w:id="21" w:name="_Toc346018876"/>
      <w:bookmarkStart w:id="22" w:name="_Toc16680"/>
      <w:bookmarkStart w:id="23" w:name="_Toc335574414"/>
      <w:bookmarkStart w:id="24" w:name="_Toc11559"/>
      <w:bookmarkStart w:id="25" w:name="_Toc10522"/>
      <w:bookmarkStart w:id="26" w:name="_Toc11445"/>
      <w:bookmarkStart w:id="27" w:name="_Toc30730"/>
      <w:bookmarkStart w:id="28" w:name="_Toc9318"/>
      <w:bookmarkStart w:id="29" w:name="_Toc8052"/>
      <w:r>
        <w:rPr>
          <w:rFonts w:hint="eastAsia" w:ascii="方正小标宋简体" w:hAnsi="方正小标宋简体" w:eastAsia="方正小标宋简体" w:cs="方正小标宋简体"/>
          <w:sz w:val="44"/>
          <w:szCs w:val="44"/>
          <w:lang w:eastAsia="zh-CN"/>
        </w:rPr>
        <w:t>常德市城区中小学校幼儿园布局专项规划（202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lang w:eastAsia="zh-CN"/>
        </w:rPr>
        <w:t>-2035年）</w:t>
      </w:r>
      <w:bookmarkStart w:id="220" w:name="_GoBack"/>
      <w:bookmarkEnd w:id="220"/>
      <w:r>
        <w:rPr>
          <w:rFonts w:hint="eastAsia" w:ascii="方正小标宋简体" w:hAnsi="方正小标宋简体" w:eastAsia="方正小标宋简体" w:cs="方正小标宋简体"/>
          <w:sz w:val="44"/>
          <w:szCs w:val="44"/>
          <w:lang w:eastAsia="zh-CN"/>
        </w:rPr>
        <w:t>主要内容</w:t>
      </w:r>
    </w:p>
    <w:p>
      <w:pPr>
        <w:ind w:firstLine="480" w:firstLineChars="200"/>
        <w:rPr>
          <w:rFonts w:hint="default" w:cs="Times New Roman"/>
          <w:b w:val="0"/>
          <w:bCs w:val="0"/>
          <w:color w:val="auto"/>
          <w:kern w:val="2"/>
          <w:sz w:val="24"/>
          <w:szCs w:val="24"/>
          <w:u w:val="none"/>
          <w:shd w:val="clear"/>
          <w:lang w:val="en-US" w:eastAsia="zh-CN"/>
        </w:rPr>
      </w:pPr>
    </w:p>
    <w:p>
      <w:pPr>
        <w:ind w:firstLine="480" w:firstLineChars="200"/>
        <w:rPr>
          <w:rFonts w:hint="eastAsia" w:cs="Times New Roman"/>
          <w:b w:val="0"/>
          <w:bCs w:val="0"/>
          <w:color w:val="auto"/>
          <w:kern w:val="2"/>
          <w:sz w:val="24"/>
          <w:szCs w:val="24"/>
          <w:u w:val="none"/>
          <w:shd w:val="clear"/>
          <w:lang w:val="en-US" w:eastAsia="zh-CN"/>
        </w:rPr>
      </w:pPr>
      <w:r>
        <w:rPr>
          <w:rFonts w:hint="default" w:cs="Times New Roman"/>
          <w:b w:val="0"/>
          <w:bCs w:val="0"/>
          <w:color w:val="auto"/>
          <w:kern w:val="2"/>
          <w:sz w:val="24"/>
          <w:szCs w:val="24"/>
          <w:u w:val="none"/>
          <w:shd w:val="clear"/>
          <w:lang w:val="en-US" w:eastAsia="zh-CN"/>
        </w:rPr>
        <w:t>按照市人民政府202</w:t>
      </w:r>
      <w:r>
        <w:rPr>
          <w:rFonts w:hint="eastAsia" w:cs="Times New Roman"/>
          <w:b w:val="0"/>
          <w:bCs w:val="0"/>
          <w:color w:val="auto"/>
          <w:kern w:val="2"/>
          <w:sz w:val="24"/>
          <w:szCs w:val="24"/>
          <w:u w:val="none"/>
          <w:shd w:val="clear"/>
          <w:lang w:val="en-US" w:eastAsia="zh-CN"/>
        </w:rPr>
        <w:t>2</w:t>
      </w:r>
      <w:r>
        <w:rPr>
          <w:rFonts w:hint="default" w:cs="Times New Roman"/>
          <w:b w:val="0"/>
          <w:bCs w:val="0"/>
          <w:color w:val="auto"/>
          <w:kern w:val="2"/>
          <w:sz w:val="24"/>
          <w:szCs w:val="24"/>
          <w:u w:val="none"/>
          <w:shd w:val="clear"/>
          <w:lang w:val="en-US" w:eastAsia="zh-CN"/>
        </w:rPr>
        <w:t>年第</w:t>
      </w:r>
      <w:r>
        <w:rPr>
          <w:rFonts w:hint="eastAsia" w:cs="Times New Roman"/>
          <w:b w:val="0"/>
          <w:bCs w:val="0"/>
          <w:color w:val="auto"/>
          <w:kern w:val="2"/>
          <w:sz w:val="24"/>
          <w:szCs w:val="24"/>
          <w:u w:val="none"/>
          <w:shd w:val="clear"/>
          <w:lang w:val="en-US" w:eastAsia="zh-CN"/>
        </w:rPr>
        <w:t>五</w:t>
      </w:r>
      <w:r>
        <w:rPr>
          <w:rFonts w:hint="default" w:cs="Times New Roman"/>
          <w:b w:val="0"/>
          <w:bCs w:val="0"/>
          <w:color w:val="auto"/>
          <w:kern w:val="2"/>
          <w:sz w:val="24"/>
          <w:szCs w:val="24"/>
          <w:u w:val="none"/>
          <w:shd w:val="clear"/>
          <w:lang w:val="en-US" w:eastAsia="zh-CN"/>
        </w:rPr>
        <w:t>次专题会议纪要要求，我局会同市自然资源和规划局于202</w:t>
      </w:r>
      <w:r>
        <w:rPr>
          <w:rFonts w:hint="eastAsia" w:cs="Times New Roman"/>
          <w:b w:val="0"/>
          <w:bCs w:val="0"/>
          <w:color w:val="auto"/>
          <w:kern w:val="2"/>
          <w:sz w:val="24"/>
          <w:szCs w:val="24"/>
          <w:u w:val="none"/>
          <w:shd w:val="clear"/>
          <w:lang w:val="en-US" w:eastAsia="zh-CN"/>
        </w:rPr>
        <w:t>2</w:t>
      </w:r>
      <w:r>
        <w:rPr>
          <w:rFonts w:hint="default" w:cs="Times New Roman"/>
          <w:b w:val="0"/>
          <w:bCs w:val="0"/>
          <w:color w:val="auto"/>
          <w:kern w:val="2"/>
          <w:sz w:val="24"/>
          <w:szCs w:val="24"/>
          <w:u w:val="none"/>
          <w:shd w:val="clear"/>
          <w:lang w:val="en-US" w:eastAsia="zh-CN"/>
        </w:rPr>
        <w:t>年</w:t>
      </w:r>
      <w:r>
        <w:rPr>
          <w:rFonts w:hint="eastAsia" w:cs="Times New Roman"/>
          <w:b w:val="0"/>
          <w:bCs w:val="0"/>
          <w:color w:val="auto"/>
          <w:kern w:val="2"/>
          <w:sz w:val="24"/>
          <w:szCs w:val="24"/>
          <w:u w:val="none"/>
          <w:shd w:val="clear"/>
          <w:lang w:val="en-US" w:eastAsia="zh-CN"/>
        </w:rPr>
        <w:t>3</w:t>
      </w:r>
      <w:r>
        <w:rPr>
          <w:rFonts w:hint="default" w:cs="Times New Roman"/>
          <w:b w:val="0"/>
          <w:bCs w:val="0"/>
          <w:color w:val="auto"/>
          <w:kern w:val="2"/>
          <w:sz w:val="24"/>
          <w:szCs w:val="24"/>
          <w:u w:val="none"/>
          <w:shd w:val="clear"/>
          <w:lang w:val="en-US" w:eastAsia="zh-CN"/>
        </w:rPr>
        <w:t>月份启动</w:t>
      </w:r>
      <w:r>
        <w:rPr>
          <w:rFonts w:hint="eastAsia" w:cs="Times New Roman"/>
          <w:b w:val="0"/>
          <w:bCs w:val="0"/>
          <w:color w:val="auto"/>
          <w:kern w:val="2"/>
          <w:sz w:val="24"/>
          <w:szCs w:val="24"/>
          <w:u w:val="none"/>
          <w:shd w:val="clear"/>
          <w:lang w:val="en-US" w:eastAsia="zh-CN"/>
        </w:rPr>
        <w:t>《</w:t>
      </w:r>
      <w:r>
        <w:rPr>
          <w:rFonts w:hint="default" w:cs="Times New Roman"/>
          <w:b w:val="0"/>
          <w:bCs w:val="0"/>
          <w:color w:val="auto"/>
          <w:kern w:val="2"/>
          <w:sz w:val="24"/>
          <w:szCs w:val="24"/>
          <w:u w:val="none"/>
          <w:shd w:val="clear"/>
          <w:lang w:val="en-US" w:eastAsia="zh-CN"/>
        </w:rPr>
        <w:t>常德市城区</w:t>
      </w:r>
      <w:r>
        <w:rPr>
          <w:rFonts w:hint="eastAsia" w:cs="Times New Roman"/>
          <w:b w:val="0"/>
          <w:bCs w:val="0"/>
          <w:color w:val="auto"/>
          <w:kern w:val="2"/>
          <w:sz w:val="24"/>
          <w:szCs w:val="24"/>
          <w:u w:val="none"/>
          <w:shd w:val="clear"/>
          <w:lang w:val="en-US" w:eastAsia="zh-CN"/>
        </w:rPr>
        <w:t>中小学校幼儿园布局</w:t>
      </w:r>
      <w:r>
        <w:rPr>
          <w:rFonts w:hint="default" w:cs="Times New Roman"/>
          <w:b w:val="0"/>
          <w:bCs w:val="0"/>
          <w:color w:val="auto"/>
          <w:kern w:val="2"/>
          <w:sz w:val="24"/>
          <w:szCs w:val="24"/>
          <w:u w:val="none"/>
          <w:shd w:val="clear"/>
          <w:lang w:val="en-US" w:eastAsia="zh-CN"/>
        </w:rPr>
        <w:t>专项规划（202</w:t>
      </w:r>
      <w:r>
        <w:rPr>
          <w:rFonts w:hint="eastAsia" w:cs="Times New Roman"/>
          <w:b w:val="0"/>
          <w:bCs w:val="0"/>
          <w:color w:val="auto"/>
          <w:kern w:val="2"/>
          <w:sz w:val="24"/>
          <w:szCs w:val="24"/>
          <w:u w:val="none"/>
          <w:shd w:val="clear"/>
          <w:lang w:val="en-US" w:eastAsia="zh-CN"/>
        </w:rPr>
        <w:t>2</w:t>
      </w:r>
      <w:r>
        <w:rPr>
          <w:rFonts w:hint="default" w:cs="Times New Roman"/>
          <w:b w:val="0"/>
          <w:bCs w:val="0"/>
          <w:color w:val="auto"/>
          <w:kern w:val="2"/>
          <w:sz w:val="24"/>
          <w:szCs w:val="24"/>
          <w:u w:val="none"/>
          <w:shd w:val="clear"/>
          <w:lang w:val="en-US" w:eastAsia="zh-CN"/>
        </w:rPr>
        <w:t>-2035</w:t>
      </w:r>
      <w:r>
        <w:rPr>
          <w:rFonts w:hint="eastAsia" w:cs="Times New Roman"/>
          <w:b w:val="0"/>
          <w:bCs w:val="0"/>
          <w:color w:val="auto"/>
          <w:kern w:val="2"/>
          <w:sz w:val="24"/>
          <w:szCs w:val="24"/>
          <w:u w:val="none"/>
          <w:shd w:val="clear"/>
          <w:lang w:val="en-US" w:eastAsia="zh-CN"/>
        </w:rPr>
        <w:t>年</w:t>
      </w:r>
      <w:r>
        <w:rPr>
          <w:rFonts w:hint="default" w:cs="Times New Roman"/>
          <w:b w:val="0"/>
          <w:bCs w:val="0"/>
          <w:color w:val="auto"/>
          <w:kern w:val="2"/>
          <w:sz w:val="24"/>
          <w:szCs w:val="24"/>
          <w:u w:val="none"/>
          <w:shd w:val="clear"/>
          <w:lang w:val="en-US" w:eastAsia="zh-CN"/>
        </w:rPr>
        <w:t>）</w:t>
      </w:r>
      <w:r>
        <w:rPr>
          <w:rFonts w:hint="eastAsia" w:cs="Times New Roman"/>
          <w:b w:val="0"/>
          <w:bCs w:val="0"/>
          <w:color w:val="auto"/>
          <w:kern w:val="2"/>
          <w:sz w:val="24"/>
          <w:szCs w:val="24"/>
          <w:u w:val="none"/>
          <w:shd w:val="clear"/>
          <w:lang w:val="en-US" w:eastAsia="zh-CN"/>
        </w:rPr>
        <w:t>》</w:t>
      </w:r>
      <w:r>
        <w:rPr>
          <w:rFonts w:hint="default" w:cs="Times New Roman"/>
          <w:b w:val="0"/>
          <w:bCs w:val="0"/>
          <w:color w:val="auto"/>
          <w:kern w:val="2"/>
          <w:sz w:val="24"/>
          <w:szCs w:val="24"/>
          <w:u w:val="none"/>
          <w:shd w:val="clear"/>
          <w:lang w:val="en-US" w:eastAsia="zh-CN"/>
        </w:rPr>
        <w:t>编制工作，并委托常德市建筑设计院有限责任公司为规划编制单位。</w:t>
      </w:r>
      <w:r>
        <w:rPr>
          <w:rFonts w:hint="eastAsia" w:cs="Times New Roman"/>
          <w:b w:val="0"/>
          <w:bCs w:val="0"/>
          <w:color w:val="auto"/>
          <w:kern w:val="2"/>
          <w:sz w:val="24"/>
          <w:szCs w:val="24"/>
          <w:u w:val="none"/>
          <w:shd w:val="clear"/>
          <w:lang w:val="en-US" w:eastAsia="zh-CN"/>
        </w:rPr>
        <w:t>历经现状调研、专题研究、方案评审、成果完善等阶段，现依法将专项规划主要内容公示并向社会征求意见。</w:t>
      </w:r>
    </w:p>
    <w:p>
      <w:pPr>
        <w:pStyle w:val="2"/>
        <w:bidi w:val="0"/>
        <w:rPr>
          <w:rFonts w:hint="eastAsia"/>
          <w:u w:val="none"/>
          <w:lang w:val="en-US" w:eastAsia="zh-CN"/>
        </w:rPr>
      </w:pPr>
      <w:bookmarkStart w:id="30" w:name="_Toc6406"/>
      <w:bookmarkStart w:id="31" w:name="_Toc13803"/>
      <w:bookmarkStart w:id="32" w:name="_Toc28883"/>
      <w:r>
        <w:rPr>
          <w:rFonts w:hint="eastAsia"/>
          <w:color w:val="auto"/>
          <w:u w:val="none"/>
        </w:rPr>
        <w:t>规划总则</w:t>
      </w:r>
      <w:bookmarkEnd w:id="30"/>
      <w:bookmarkEnd w:id="31"/>
      <w:bookmarkEnd w:id="32"/>
    </w:p>
    <w:p>
      <w:pPr>
        <w:pStyle w:val="3"/>
        <w:bidi w:val="0"/>
        <w:spacing w:line="460" w:lineRule="exact"/>
        <w:outlineLvl w:val="0"/>
        <w:rPr>
          <w:rFonts w:hint="eastAsia"/>
          <w:color w:val="auto"/>
          <w:u w:val="none"/>
          <w:lang w:eastAsia="zh-CN"/>
        </w:rPr>
      </w:pPr>
      <w:r>
        <w:rPr>
          <w:rFonts w:hint="eastAsia"/>
          <w:color w:val="auto"/>
          <w:u w:val="none"/>
          <w:lang w:eastAsia="zh-CN"/>
        </w:rPr>
        <w:t>指导思想</w:t>
      </w:r>
      <w:bookmarkEnd w:id="0"/>
      <w:bookmarkEnd w:id="1"/>
      <w:bookmarkEnd w:id="2"/>
      <w:bookmarkEnd w:id="3"/>
      <w:bookmarkEnd w:id="4"/>
    </w:p>
    <w:bookmarkEnd w:id="5"/>
    <w:bookmarkEnd w:id="6"/>
    <w:bookmarkEnd w:id="7"/>
    <w:bookmarkEnd w:id="8"/>
    <w:bookmarkEnd w:id="9"/>
    <w:bookmarkEnd w:id="10"/>
    <w:bookmarkEnd w:id="11"/>
    <w:p>
      <w:pPr>
        <w:ind w:firstLine="480" w:firstLineChars="200"/>
        <w:rPr>
          <w:rFonts w:hint="eastAsia" w:ascii="Times New Roman" w:hAnsi="Times New Roman" w:eastAsia="宋体" w:cs="Times New Roman"/>
          <w:color w:val="auto"/>
          <w:sz w:val="24"/>
          <w:szCs w:val="24"/>
          <w:u w:val="none"/>
          <w:lang w:eastAsia="zh-CN"/>
        </w:rPr>
      </w:pPr>
      <w:r>
        <w:rPr>
          <w:rFonts w:hint="eastAsia" w:cs="Times New Roman"/>
          <w:b w:val="0"/>
          <w:bCs w:val="0"/>
          <w:color w:val="auto"/>
          <w:kern w:val="2"/>
          <w:sz w:val="24"/>
          <w:szCs w:val="24"/>
          <w:u w:val="none"/>
          <w:shd w:val="clear"/>
          <w:lang w:eastAsia="zh-CN"/>
        </w:rPr>
        <w:t>习近平在中国共产党第二十次全国代表大会上的重要论述指出我们要办好人民满意的教育，全面贯彻党的教育方针，落实立德树人根本任务，培养德智体全面发展的社会主义建设者和接班人，加快建设高质量教育体系，发展素质教育，促进教育公平。</w:t>
      </w:r>
    </w:p>
    <w:p>
      <w:pPr>
        <w:pStyle w:val="3"/>
        <w:bidi w:val="0"/>
        <w:spacing w:line="460" w:lineRule="exact"/>
        <w:outlineLvl w:val="0"/>
        <w:rPr>
          <w:rFonts w:hint="eastAsia"/>
          <w:color w:val="auto"/>
          <w:u w:val="none"/>
          <w:lang w:eastAsia="zh-CN"/>
        </w:rPr>
      </w:pPr>
      <w:bookmarkStart w:id="33" w:name="_Toc21335"/>
      <w:bookmarkStart w:id="34" w:name="_Toc28538"/>
      <w:bookmarkStart w:id="35" w:name="_Toc15634"/>
      <w:bookmarkStart w:id="36" w:name="_Toc4052"/>
      <w:bookmarkStart w:id="37" w:name="_Toc29612"/>
      <w:r>
        <w:rPr>
          <w:rFonts w:hint="eastAsia"/>
          <w:color w:val="auto"/>
          <w:u w:val="none"/>
          <w:lang w:eastAsia="zh-CN"/>
        </w:rPr>
        <w:t>编制目的</w:t>
      </w:r>
      <w:bookmarkEnd w:id="33"/>
      <w:bookmarkEnd w:id="34"/>
      <w:bookmarkEnd w:id="35"/>
      <w:bookmarkEnd w:id="36"/>
      <w:bookmarkEnd w:id="37"/>
    </w:p>
    <w:p>
      <w:pPr>
        <w:bidi w:val="0"/>
        <w:spacing w:line="460" w:lineRule="exact"/>
        <w:rPr>
          <w:color w:val="auto"/>
          <w:u w:val="none"/>
        </w:rPr>
      </w:pPr>
      <w:r>
        <w:rPr>
          <w:rFonts w:hint="eastAsia" w:ascii="Times New Roman" w:hAnsi="Times New Roman" w:eastAsia="宋体" w:cs="Times New Roman"/>
          <w:color w:val="auto"/>
          <w:sz w:val="24"/>
          <w:szCs w:val="24"/>
          <w:u w:val="none"/>
        </w:rPr>
        <w:t>立足</w:t>
      </w:r>
      <w:r>
        <w:rPr>
          <w:rFonts w:hint="eastAsia" w:cs="Times New Roman"/>
          <w:color w:val="auto"/>
          <w:sz w:val="24"/>
          <w:szCs w:val="24"/>
          <w:u w:val="none"/>
          <w:lang w:eastAsia="zh-CN"/>
        </w:rPr>
        <w:t>常德市</w:t>
      </w:r>
      <w:r>
        <w:rPr>
          <w:rFonts w:hint="eastAsia" w:ascii="Times New Roman" w:hAnsi="Times New Roman" w:eastAsia="宋体" w:cs="Times New Roman"/>
          <w:color w:val="auto"/>
          <w:sz w:val="24"/>
          <w:szCs w:val="24"/>
          <w:u w:val="none"/>
          <w:lang w:eastAsia="zh-CN"/>
        </w:rPr>
        <w:t>城区</w:t>
      </w:r>
      <w:r>
        <w:rPr>
          <w:rFonts w:hint="eastAsia" w:ascii="Times New Roman" w:hAnsi="Times New Roman" w:eastAsia="宋体" w:cs="Times New Roman"/>
          <w:color w:val="auto"/>
          <w:sz w:val="24"/>
          <w:szCs w:val="24"/>
          <w:u w:val="none"/>
        </w:rPr>
        <w:t>经济社会发展需求，以办人民满意的教育为目标，合理规划学校布局，科学确定学校服务半径、数量及规模，优化教育资源配置，不断推进</w:t>
      </w:r>
      <w:r>
        <w:rPr>
          <w:rFonts w:hint="eastAsia" w:cs="Times New Roman"/>
          <w:color w:val="auto"/>
          <w:sz w:val="24"/>
          <w:szCs w:val="24"/>
          <w:u w:val="none"/>
          <w:lang w:eastAsia="zh-CN"/>
        </w:rPr>
        <w:t>常德</w:t>
      </w:r>
      <w:r>
        <w:rPr>
          <w:rFonts w:hint="eastAsia" w:ascii="Times New Roman" w:hAnsi="Times New Roman" w:eastAsia="宋体" w:cs="Times New Roman"/>
          <w:color w:val="auto"/>
          <w:sz w:val="24"/>
          <w:szCs w:val="24"/>
          <w:u w:val="none"/>
          <w:lang w:eastAsia="zh-CN"/>
        </w:rPr>
        <w:t>市城区</w:t>
      </w:r>
      <w:r>
        <w:rPr>
          <w:rFonts w:hint="eastAsia" w:ascii="Times New Roman" w:hAnsi="Times New Roman" w:eastAsia="宋体" w:cs="Times New Roman"/>
          <w:color w:val="auto"/>
          <w:sz w:val="24"/>
          <w:szCs w:val="24"/>
          <w:u w:val="none"/>
        </w:rPr>
        <w:t>教育</w:t>
      </w:r>
      <w:r>
        <w:rPr>
          <w:rFonts w:hint="eastAsia" w:ascii="Times New Roman" w:hAnsi="Times New Roman" w:eastAsia="宋体" w:cs="Times New Roman"/>
          <w:color w:val="auto"/>
          <w:sz w:val="24"/>
          <w:szCs w:val="24"/>
          <w:u w:val="none"/>
          <w:lang w:eastAsia="zh-CN"/>
        </w:rPr>
        <w:t>事业</w:t>
      </w:r>
      <w:r>
        <w:rPr>
          <w:rFonts w:hint="eastAsia" w:ascii="Times New Roman" w:hAnsi="Times New Roman" w:eastAsia="宋体" w:cs="Times New Roman"/>
          <w:color w:val="auto"/>
          <w:sz w:val="24"/>
          <w:szCs w:val="24"/>
          <w:u w:val="none"/>
        </w:rPr>
        <w:t>均衡、持续、健康、优质发展。</w:t>
      </w:r>
    </w:p>
    <w:p>
      <w:pPr>
        <w:pStyle w:val="3"/>
        <w:pageBreakBefore w:val="0"/>
        <w:widowControl w:val="0"/>
        <w:kinsoku/>
        <w:wordWrap/>
        <w:overflowPunct/>
        <w:topLinePunct w:val="0"/>
        <w:autoSpaceDE/>
        <w:autoSpaceDN/>
        <w:bidi w:val="0"/>
        <w:adjustRightInd/>
        <w:snapToGrid/>
        <w:spacing w:line="460" w:lineRule="exact"/>
        <w:textAlignment w:val="auto"/>
        <w:outlineLvl w:val="0"/>
        <w:rPr>
          <w:color w:val="auto"/>
          <w:u w:val="none"/>
        </w:rPr>
      </w:pPr>
      <w:bookmarkStart w:id="38" w:name="_Toc10303"/>
      <w:bookmarkStart w:id="39" w:name="_Toc20866"/>
      <w:bookmarkStart w:id="40" w:name="_Toc244"/>
      <w:bookmarkStart w:id="41" w:name="_Toc3659"/>
      <w:bookmarkStart w:id="42" w:name="_Toc23697"/>
      <w:bookmarkStart w:id="43" w:name="_Toc21817"/>
      <w:bookmarkStart w:id="44" w:name="_Toc16745"/>
      <w:bookmarkStart w:id="45" w:name="_Toc16684"/>
      <w:bookmarkStart w:id="46" w:name="_Toc31825"/>
      <w:bookmarkStart w:id="47" w:name="_Toc524592170"/>
      <w:bookmarkStart w:id="48" w:name="_Toc524592647"/>
      <w:r>
        <w:rPr>
          <w:rFonts w:hint="eastAsia"/>
          <w:color w:val="auto"/>
          <w:u w:val="none"/>
        </w:rPr>
        <w:t>规划范围及规划</w:t>
      </w:r>
      <w:bookmarkEnd w:id="38"/>
      <w:bookmarkEnd w:id="39"/>
      <w:bookmarkEnd w:id="40"/>
      <w:bookmarkEnd w:id="41"/>
      <w:bookmarkEnd w:id="42"/>
      <w:bookmarkEnd w:id="43"/>
      <w:r>
        <w:rPr>
          <w:rFonts w:hint="eastAsia"/>
          <w:color w:val="auto"/>
          <w:u w:val="none"/>
          <w:lang w:eastAsia="zh-CN"/>
        </w:rPr>
        <w:t>内容</w:t>
      </w:r>
      <w:bookmarkEnd w:id="44"/>
      <w:bookmarkEnd w:id="45"/>
      <w:bookmarkEnd w:id="46"/>
    </w:p>
    <w:p>
      <w:pPr>
        <w:pStyle w:val="4"/>
        <w:keepNext/>
        <w:keepLines/>
        <w:pageBreakBefore w:val="0"/>
        <w:widowControl w:val="0"/>
        <w:numPr>
          <w:ilvl w:val="0"/>
          <w:numId w:val="6"/>
        </w:numPr>
        <w:kinsoku/>
        <w:wordWrap/>
        <w:overflowPunct/>
        <w:topLinePunct w:val="0"/>
        <w:autoSpaceDE/>
        <w:autoSpaceDN/>
        <w:bidi w:val="0"/>
        <w:adjustRightInd/>
        <w:snapToGrid/>
        <w:spacing w:line="460" w:lineRule="exact"/>
        <w:ind w:left="900" w:firstLineChars="0"/>
        <w:textAlignment w:val="auto"/>
        <w:rPr>
          <w:color w:val="auto"/>
          <w:u w:val="none"/>
        </w:rPr>
      </w:pPr>
      <w:bookmarkStart w:id="49" w:name="_Toc7484"/>
      <w:bookmarkStart w:id="50" w:name="_Toc536211541"/>
      <w:bookmarkStart w:id="51" w:name="_Toc2000325"/>
      <w:bookmarkStart w:id="52" w:name="_Toc525293434"/>
      <w:bookmarkStart w:id="53" w:name="_Toc9076"/>
      <w:bookmarkStart w:id="54" w:name="_Toc5702082"/>
      <w:bookmarkStart w:id="55" w:name="_Toc1921903"/>
      <w:bookmarkStart w:id="56" w:name="_Toc532113781"/>
      <w:bookmarkStart w:id="57" w:name="_Toc525657526"/>
      <w:bookmarkStart w:id="58" w:name="_Toc532061273"/>
      <w:r>
        <w:rPr>
          <w:rFonts w:hint="eastAsia"/>
          <w:color w:val="auto"/>
          <w:u w:val="none"/>
        </w:rPr>
        <w:t>规划范围</w:t>
      </w:r>
      <w:bookmarkEnd w:id="49"/>
      <w:bookmarkEnd w:id="50"/>
      <w:bookmarkEnd w:id="51"/>
      <w:bookmarkEnd w:id="52"/>
      <w:bookmarkEnd w:id="53"/>
      <w:bookmarkEnd w:id="54"/>
      <w:bookmarkEnd w:id="55"/>
      <w:bookmarkEnd w:id="56"/>
      <w:bookmarkEnd w:id="57"/>
      <w:bookmarkEnd w:id="58"/>
    </w:p>
    <w:bookmarkEnd w:id="47"/>
    <w:bookmarkEnd w:id="48"/>
    <w:p>
      <w:pPr>
        <w:bidi w:val="0"/>
        <w:rPr>
          <w:rFonts w:hint="eastAsia"/>
          <w:color w:val="auto"/>
          <w:lang w:eastAsia="zh-CN"/>
        </w:rPr>
      </w:pPr>
      <w:bookmarkStart w:id="59" w:name="_Toc532061274"/>
      <w:bookmarkStart w:id="60" w:name="_Toc5702083"/>
      <w:bookmarkStart w:id="61" w:name="_Toc1921904"/>
      <w:bookmarkStart w:id="62" w:name="_Toc2000326"/>
      <w:bookmarkStart w:id="63" w:name="_Toc525293435"/>
      <w:bookmarkStart w:id="64" w:name="_Toc524592646"/>
      <w:bookmarkStart w:id="65" w:name="_Toc21154"/>
      <w:bookmarkStart w:id="66" w:name="_Toc536211542"/>
      <w:bookmarkStart w:id="67" w:name="_Toc525657527"/>
      <w:bookmarkStart w:id="68" w:name="_Toc532113782"/>
      <w:bookmarkStart w:id="69" w:name="_Toc524592169"/>
      <w:bookmarkStart w:id="70" w:name="_Toc23591"/>
      <w:bookmarkStart w:id="71" w:name="_Toc522810478"/>
      <w:bookmarkStart w:id="72" w:name="_Toc523065480"/>
      <w:bookmarkStart w:id="73" w:name="_Toc523065097"/>
      <w:bookmarkStart w:id="74" w:name="_Toc523065368"/>
      <w:bookmarkStart w:id="75" w:name="_Toc6199"/>
      <w:bookmarkStart w:id="76" w:name="_Toc32721"/>
      <w:bookmarkStart w:id="77" w:name="_Toc10692"/>
      <w:bookmarkStart w:id="78" w:name="_Toc12745"/>
      <w:bookmarkStart w:id="79" w:name="_Toc18933"/>
      <w:bookmarkStart w:id="80" w:name="_Toc13273"/>
      <w:bookmarkStart w:id="81" w:name="_Toc4392"/>
      <w:bookmarkStart w:id="82" w:name="_Toc21479"/>
      <w:bookmarkStart w:id="83" w:name="_Toc5185"/>
      <w:bookmarkStart w:id="84" w:name="_Toc9488"/>
      <w:bookmarkStart w:id="85" w:name="_Toc29922"/>
      <w:r>
        <w:rPr>
          <w:rFonts w:hint="eastAsia"/>
          <w:color w:val="auto"/>
          <w:lang w:eastAsia="zh-CN"/>
        </w:rPr>
        <w:t>本次规划范围与《常德市国土空间总体规划（</w:t>
      </w:r>
      <w:r>
        <w:rPr>
          <w:rFonts w:hint="eastAsia"/>
          <w:color w:val="auto"/>
          <w:lang w:val="en-US" w:eastAsia="zh-CN"/>
        </w:rPr>
        <w:t>2021-2035年）》（在编）</w:t>
      </w:r>
      <w:r>
        <w:rPr>
          <w:rFonts w:hint="eastAsia"/>
          <w:color w:val="auto"/>
          <w:lang w:eastAsia="zh-CN"/>
        </w:rPr>
        <w:t>的中心城区范围一致。中心城区范围为城镇开发边界内的区域，包括武陵区</w:t>
      </w:r>
      <w:r>
        <w:rPr>
          <w:rFonts w:hint="eastAsia"/>
          <w:color w:val="auto"/>
          <w:lang w:val="en-US" w:eastAsia="zh-CN"/>
        </w:rPr>
        <w:t>11个街道办事处，1个镇，2个乡</w:t>
      </w:r>
      <w:r>
        <w:rPr>
          <w:rFonts w:hint="eastAsia"/>
          <w:color w:val="auto"/>
          <w:lang w:eastAsia="zh-CN"/>
        </w:rPr>
        <w:t>、柳叶湖旅游度假区</w:t>
      </w:r>
      <w:r>
        <w:rPr>
          <w:rFonts w:hint="eastAsia"/>
          <w:color w:val="auto"/>
          <w:lang w:val="en-US" w:eastAsia="zh-CN"/>
        </w:rPr>
        <w:t>2个街道办事处，1个镇</w:t>
      </w:r>
      <w:r>
        <w:rPr>
          <w:rFonts w:hint="eastAsia"/>
          <w:color w:val="auto"/>
          <w:lang w:eastAsia="zh-CN"/>
        </w:rPr>
        <w:t>、鼎城区</w:t>
      </w:r>
      <w:r>
        <w:rPr>
          <w:rFonts w:hint="eastAsia"/>
          <w:color w:val="auto"/>
          <w:lang w:val="en-US" w:eastAsia="zh-CN"/>
        </w:rPr>
        <w:t>4个街道办事处、</w:t>
      </w:r>
      <w:r>
        <w:rPr>
          <w:rFonts w:hint="eastAsia"/>
          <w:color w:val="auto"/>
          <w:lang w:eastAsia="zh-CN"/>
        </w:rPr>
        <w:t>常德经济技术开发区</w:t>
      </w:r>
      <w:r>
        <w:rPr>
          <w:rFonts w:hint="eastAsia"/>
          <w:color w:val="auto"/>
          <w:lang w:val="en-US" w:eastAsia="zh-CN"/>
        </w:rPr>
        <w:t>2个街道办事处，1个镇</w:t>
      </w:r>
      <w:r>
        <w:rPr>
          <w:rFonts w:hint="eastAsia"/>
          <w:color w:val="auto"/>
          <w:lang w:eastAsia="zh-CN"/>
        </w:rPr>
        <w:t>、常德高新技术产业开发区</w:t>
      </w:r>
      <w:r>
        <w:rPr>
          <w:rFonts w:hint="eastAsia"/>
          <w:color w:val="auto"/>
          <w:lang w:val="en-US" w:eastAsia="zh-CN"/>
        </w:rPr>
        <w:t>2个镇</w:t>
      </w:r>
      <w:r>
        <w:rPr>
          <w:rFonts w:hint="eastAsia"/>
          <w:color w:val="auto"/>
          <w:lang w:eastAsia="zh-CN"/>
        </w:rPr>
        <w:t>。</w:t>
      </w:r>
    </w:p>
    <w:p>
      <w:pPr>
        <w:pStyle w:val="4"/>
        <w:pageBreakBefore w:val="0"/>
        <w:widowControl w:val="0"/>
        <w:kinsoku/>
        <w:wordWrap/>
        <w:overflowPunct/>
        <w:topLinePunct w:val="0"/>
        <w:autoSpaceDE/>
        <w:autoSpaceDN/>
        <w:bidi w:val="0"/>
        <w:adjustRightInd/>
        <w:snapToGrid/>
        <w:spacing w:line="460" w:lineRule="exact"/>
        <w:ind w:left="900" w:firstLineChars="0"/>
        <w:textAlignment w:val="auto"/>
        <w:rPr>
          <w:color w:val="auto"/>
          <w:u w:val="none"/>
        </w:rPr>
      </w:pPr>
      <w:r>
        <w:rPr>
          <w:rFonts w:hint="eastAsia"/>
          <w:color w:val="auto"/>
          <w:u w:val="none"/>
        </w:rPr>
        <w:t>规划</w:t>
      </w:r>
      <w:bookmarkEnd w:id="59"/>
      <w:bookmarkEnd w:id="60"/>
      <w:bookmarkEnd w:id="61"/>
      <w:bookmarkEnd w:id="62"/>
      <w:bookmarkEnd w:id="63"/>
      <w:bookmarkEnd w:id="64"/>
      <w:bookmarkEnd w:id="65"/>
      <w:bookmarkEnd w:id="66"/>
      <w:bookmarkEnd w:id="67"/>
      <w:bookmarkEnd w:id="68"/>
      <w:bookmarkEnd w:id="69"/>
      <w:bookmarkEnd w:id="70"/>
      <w:r>
        <w:rPr>
          <w:rFonts w:hint="eastAsia"/>
          <w:color w:val="auto"/>
          <w:u w:val="none"/>
          <w:lang w:eastAsia="zh-CN"/>
        </w:rPr>
        <w:t>内容</w:t>
      </w:r>
    </w:p>
    <w:bookmarkEnd w:id="71"/>
    <w:bookmarkEnd w:id="72"/>
    <w:bookmarkEnd w:id="73"/>
    <w:bookmarkEnd w:id="74"/>
    <w:p>
      <w:pPr>
        <w:bidi w:val="0"/>
        <w:spacing w:line="460" w:lineRule="exact"/>
        <w:rPr>
          <w:color w:val="auto"/>
          <w:u w:val="none"/>
        </w:rPr>
      </w:pPr>
      <w:bookmarkStart w:id="86" w:name="_Toc5702084"/>
      <w:bookmarkStart w:id="87" w:name="_Toc532113783"/>
      <w:bookmarkStart w:id="88" w:name="_Toc525293436"/>
      <w:bookmarkStart w:id="89" w:name="_Toc525657528"/>
      <w:bookmarkStart w:id="90" w:name="_Toc20891"/>
      <w:bookmarkStart w:id="91" w:name="_Toc536211543"/>
      <w:bookmarkStart w:id="92" w:name="_Toc2000327"/>
      <w:bookmarkStart w:id="93" w:name="_Toc1921905"/>
      <w:bookmarkStart w:id="94" w:name="_Toc532061275"/>
      <w:bookmarkStart w:id="95" w:name="_Toc15878"/>
      <w:r>
        <w:rPr>
          <w:rFonts w:hint="eastAsia"/>
          <w:color w:val="auto"/>
          <w:u w:val="none"/>
        </w:rPr>
        <w:t>小学—初中—高中</w:t>
      </w:r>
      <w:r>
        <w:rPr>
          <w:rFonts w:hint="eastAsia"/>
          <w:color w:val="auto"/>
          <w:u w:val="none"/>
          <w:lang w:eastAsia="zh-CN"/>
        </w:rPr>
        <w:t>（含中等职业学校）及</w:t>
      </w:r>
      <w:r>
        <w:rPr>
          <w:rFonts w:hint="eastAsia"/>
          <w:color w:val="auto"/>
          <w:u w:val="none"/>
        </w:rPr>
        <w:t>幼儿园</w:t>
      </w:r>
      <w:r>
        <w:rPr>
          <w:rFonts w:hint="eastAsia"/>
          <w:color w:val="auto"/>
          <w:u w:val="none"/>
          <w:lang w:eastAsia="zh-CN"/>
        </w:rPr>
        <w:t>规划布局</w:t>
      </w:r>
      <w:r>
        <w:rPr>
          <w:rFonts w:hint="eastAsia"/>
          <w:color w:val="auto"/>
          <w:u w:val="none"/>
        </w:rPr>
        <w:t>。</w:t>
      </w:r>
      <w:bookmarkEnd w:id="86"/>
      <w:bookmarkEnd w:id="87"/>
      <w:bookmarkEnd w:id="88"/>
      <w:bookmarkEnd w:id="89"/>
      <w:bookmarkEnd w:id="90"/>
      <w:bookmarkEnd w:id="91"/>
      <w:bookmarkEnd w:id="92"/>
      <w:bookmarkEnd w:id="93"/>
      <w:bookmarkEnd w:id="94"/>
      <w:bookmarkEnd w:id="95"/>
    </w:p>
    <w:p>
      <w:pPr>
        <w:pStyle w:val="3"/>
        <w:bidi w:val="0"/>
        <w:spacing w:line="420" w:lineRule="exact"/>
        <w:outlineLvl w:val="0"/>
        <w:rPr>
          <w:rFonts w:hint="eastAsia"/>
          <w:color w:val="auto"/>
          <w:u w:val="none"/>
          <w:lang w:eastAsia="zh-CN"/>
        </w:rPr>
      </w:pPr>
      <w:bookmarkStart w:id="96" w:name="_Toc18651"/>
      <w:bookmarkStart w:id="97" w:name="_Toc17493"/>
      <w:bookmarkStart w:id="98" w:name="_Toc23710"/>
      <w:bookmarkStart w:id="99" w:name="_Toc12395"/>
      <w:bookmarkStart w:id="100" w:name="_Toc8942"/>
      <w:r>
        <w:rPr>
          <w:rFonts w:hint="eastAsia"/>
          <w:color w:val="auto"/>
          <w:u w:val="none"/>
          <w:lang w:eastAsia="zh-CN"/>
        </w:rPr>
        <w:t>规划依据</w:t>
      </w:r>
      <w:bookmarkEnd w:id="75"/>
      <w:bookmarkEnd w:id="76"/>
      <w:bookmarkEnd w:id="77"/>
      <w:bookmarkEnd w:id="78"/>
      <w:bookmarkEnd w:id="79"/>
      <w:bookmarkEnd w:id="80"/>
      <w:bookmarkEnd w:id="81"/>
      <w:bookmarkEnd w:id="96"/>
      <w:bookmarkEnd w:id="97"/>
      <w:bookmarkEnd w:id="98"/>
      <w:bookmarkEnd w:id="99"/>
      <w:bookmarkEnd w:id="100"/>
    </w:p>
    <w:p>
      <w:pPr>
        <w:pStyle w:val="4"/>
        <w:keepNext/>
        <w:keepLines/>
        <w:pageBreakBefore w:val="0"/>
        <w:widowControl w:val="0"/>
        <w:numPr>
          <w:ilvl w:val="0"/>
          <w:numId w:val="7"/>
        </w:numPr>
        <w:kinsoku/>
        <w:wordWrap/>
        <w:overflowPunct/>
        <w:topLinePunct w:val="0"/>
        <w:autoSpaceDE/>
        <w:autoSpaceDN/>
        <w:bidi w:val="0"/>
        <w:adjustRightInd/>
        <w:snapToGrid/>
        <w:spacing w:line="420" w:lineRule="exact"/>
        <w:ind w:left="900" w:firstLineChars="0"/>
        <w:textAlignment w:val="auto"/>
        <w:rPr>
          <w:color w:val="auto"/>
          <w:u w:val="none"/>
        </w:rPr>
      </w:pPr>
      <w:bookmarkStart w:id="101" w:name="_Toc522810480"/>
      <w:bookmarkStart w:id="102" w:name="_Toc523065482"/>
      <w:bookmarkStart w:id="103" w:name="_Toc525292317"/>
      <w:bookmarkStart w:id="104" w:name="_Toc5706749"/>
      <w:bookmarkStart w:id="105" w:name="_Toc2007909"/>
      <w:bookmarkStart w:id="106" w:name="_Toc523065099"/>
      <w:bookmarkStart w:id="107" w:name="_Toc524592649"/>
      <w:bookmarkStart w:id="108" w:name="_Toc524592172"/>
      <w:bookmarkStart w:id="109" w:name="_Toc532119371"/>
      <w:bookmarkStart w:id="110" w:name="_Toc523065370"/>
      <w:bookmarkStart w:id="111" w:name="_Toc4566"/>
      <w:bookmarkStart w:id="112" w:name="_Toc532119202"/>
      <w:bookmarkStart w:id="113" w:name="_Toc15515"/>
      <w:bookmarkStart w:id="114" w:name="_Toc15437"/>
      <w:bookmarkStart w:id="115" w:name="_Toc3034"/>
      <w:bookmarkStart w:id="116" w:name="_Toc1278"/>
      <w:r>
        <w:rPr>
          <w:rFonts w:hint="eastAsia"/>
          <w:color w:val="auto"/>
          <w:u w:val="none"/>
        </w:rPr>
        <w:t>法律与法规</w:t>
      </w:r>
      <w:bookmarkEnd w:id="101"/>
      <w:bookmarkEnd w:id="102"/>
      <w:bookmarkEnd w:id="103"/>
      <w:bookmarkEnd w:id="104"/>
      <w:bookmarkEnd w:id="105"/>
      <w:bookmarkEnd w:id="106"/>
      <w:bookmarkEnd w:id="107"/>
      <w:bookmarkEnd w:id="108"/>
      <w:bookmarkEnd w:id="109"/>
      <w:bookmarkEnd w:id="110"/>
      <w:bookmarkEnd w:id="111"/>
      <w:bookmarkEnd w:id="112"/>
    </w:p>
    <w:p>
      <w:pPr>
        <w:pageBreakBefore w:val="0"/>
        <w:widowControl w:val="0"/>
        <w:kinsoku/>
        <w:wordWrap/>
        <w:overflowPunct/>
        <w:topLinePunct w:val="0"/>
        <w:autoSpaceDE/>
        <w:autoSpaceDN/>
        <w:bidi w:val="0"/>
        <w:adjustRightInd/>
        <w:snapToGrid/>
        <w:spacing w:line="440" w:lineRule="exact"/>
        <w:textAlignment w:val="auto"/>
        <w:rPr>
          <w:rFonts w:hint="eastAsia"/>
          <w:color w:val="auto"/>
          <w:u w:val="none"/>
          <w:lang w:eastAsia="zh-CN"/>
        </w:rPr>
      </w:pPr>
      <w:bookmarkStart w:id="117" w:name="_Toc524592650"/>
      <w:bookmarkStart w:id="118" w:name="_Toc524592173"/>
      <w:bookmarkStart w:id="119" w:name="_Toc532119372"/>
      <w:bookmarkStart w:id="120" w:name="_Toc523065371"/>
      <w:bookmarkStart w:id="121" w:name="_Toc532119203"/>
      <w:bookmarkStart w:id="122" w:name="_Toc523065100"/>
      <w:bookmarkStart w:id="123" w:name="_Toc523065483"/>
      <w:bookmarkStart w:id="124" w:name="_Toc525292318"/>
      <w:bookmarkStart w:id="125" w:name="_Toc2007910"/>
      <w:bookmarkStart w:id="126" w:name="_Toc522810481"/>
      <w:bookmarkStart w:id="127" w:name="_Toc5706750"/>
      <w:bookmarkStart w:id="128" w:name="_Toc21251"/>
      <w:r>
        <w:rPr>
          <w:rFonts w:hint="eastAsia"/>
          <w:color w:val="auto"/>
          <w:u w:val="none"/>
        </w:rPr>
        <w:t>（1）《中华人民共和国城乡规划法》（</w:t>
      </w:r>
      <w:r>
        <w:rPr>
          <w:rFonts w:hint="eastAsia"/>
          <w:color w:val="auto"/>
          <w:u w:val="none"/>
          <w:lang w:val="en-US" w:eastAsia="zh-CN"/>
        </w:rPr>
        <w:t>2019年修正</w:t>
      </w:r>
      <w:r>
        <w:rPr>
          <w:rFonts w:hint="eastAsia"/>
          <w:color w:val="auto"/>
          <w:u w:val="none"/>
        </w:rPr>
        <w:t>）</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40" w:lineRule="exact"/>
        <w:textAlignment w:val="auto"/>
        <w:rPr>
          <w:rFonts w:hint="eastAsia" w:eastAsia="宋体"/>
          <w:color w:val="auto"/>
          <w:u w:val="none"/>
          <w:lang w:val="en-US" w:eastAsia="zh-CN"/>
        </w:rPr>
      </w:pPr>
      <w:r>
        <w:rPr>
          <w:rFonts w:hint="eastAsia"/>
          <w:color w:val="auto"/>
          <w:u w:val="none"/>
          <w:lang w:val="en-US" w:eastAsia="zh-CN"/>
        </w:rPr>
        <w:t>（2）</w:t>
      </w:r>
      <w:r>
        <w:rPr>
          <w:rFonts w:hint="eastAsia" w:ascii="Times New Roman" w:hAnsi="Times New Roman" w:eastAsia="宋体" w:cs="Times New Roman"/>
          <w:b w:val="0"/>
          <w:bCs w:val="0"/>
          <w:color w:val="auto"/>
          <w:sz w:val="24"/>
          <w:szCs w:val="24"/>
          <w:u w:val="none"/>
        </w:rPr>
        <w:t>《中华人民共和国土地管理法》（2019 年修正）；</w:t>
      </w:r>
    </w:p>
    <w:p>
      <w:pPr>
        <w:pageBreakBefore w:val="0"/>
        <w:widowControl w:val="0"/>
        <w:kinsoku/>
        <w:wordWrap/>
        <w:overflowPunct/>
        <w:topLinePunct w:val="0"/>
        <w:autoSpaceDE/>
        <w:autoSpaceDN/>
        <w:bidi w:val="0"/>
        <w:adjustRightInd/>
        <w:snapToGrid/>
        <w:spacing w:line="440" w:lineRule="exact"/>
        <w:textAlignment w:val="auto"/>
        <w:rPr>
          <w:rFonts w:hint="eastAsia"/>
          <w:color w:val="auto"/>
          <w:u w:val="none"/>
          <w:lang w:eastAsia="zh-CN"/>
        </w:rPr>
      </w:pPr>
      <w:r>
        <w:rPr>
          <w:rFonts w:hint="eastAsia"/>
          <w:color w:val="auto"/>
          <w:u w:val="none"/>
        </w:rPr>
        <w:t>（</w:t>
      </w:r>
      <w:r>
        <w:rPr>
          <w:rFonts w:hint="eastAsia"/>
          <w:color w:val="auto"/>
          <w:u w:val="none"/>
          <w:lang w:val="en-US" w:eastAsia="zh-CN"/>
        </w:rPr>
        <w:t>3</w:t>
      </w:r>
      <w:r>
        <w:rPr>
          <w:rFonts w:hint="eastAsia"/>
          <w:color w:val="auto"/>
          <w:u w:val="none"/>
        </w:rPr>
        <w:t>）《中华人民共和国教育法》</w:t>
      </w:r>
      <w:r>
        <w:rPr>
          <w:rFonts w:hint="eastAsia"/>
          <w:color w:val="auto"/>
          <w:u w:val="none"/>
          <w:lang w:eastAsia="zh-CN"/>
        </w:rPr>
        <w:t>（</w:t>
      </w:r>
      <w:r>
        <w:rPr>
          <w:rFonts w:hint="eastAsia"/>
          <w:color w:val="auto"/>
          <w:u w:val="none"/>
          <w:lang w:val="en-US" w:eastAsia="zh-CN"/>
        </w:rPr>
        <w:t>2021年修订</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40" w:lineRule="exact"/>
        <w:textAlignment w:val="auto"/>
        <w:rPr>
          <w:rFonts w:hint="eastAsia"/>
          <w:color w:val="auto"/>
          <w:u w:val="none"/>
          <w:lang w:eastAsia="zh-CN"/>
        </w:rPr>
      </w:pPr>
      <w:r>
        <w:rPr>
          <w:rFonts w:hint="eastAsia"/>
          <w:color w:val="auto"/>
          <w:u w:val="none"/>
          <w:lang w:eastAsia="zh-CN"/>
        </w:rPr>
        <w:t>（</w:t>
      </w:r>
      <w:r>
        <w:rPr>
          <w:rFonts w:hint="eastAsia"/>
          <w:color w:val="auto"/>
          <w:u w:val="none"/>
          <w:lang w:val="en-US" w:eastAsia="zh-CN"/>
        </w:rPr>
        <w:t>4</w:t>
      </w:r>
      <w:r>
        <w:rPr>
          <w:rFonts w:hint="eastAsia"/>
          <w:color w:val="auto"/>
          <w:u w:val="none"/>
          <w:lang w:eastAsia="zh-CN"/>
        </w:rPr>
        <w:t>）《中华人民共和国义务教育法》（</w:t>
      </w:r>
      <w:r>
        <w:rPr>
          <w:rFonts w:hint="eastAsia"/>
          <w:color w:val="auto"/>
          <w:u w:val="none"/>
          <w:lang w:val="en-US" w:eastAsia="zh-CN"/>
        </w:rPr>
        <w:t>2018年修订</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40" w:lineRule="exact"/>
        <w:textAlignment w:val="auto"/>
        <w:rPr>
          <w:rFonts w:hint="eastAsia"/>
          <w:color w:val="auto"/>
          <w:u w:val="none"/>
          <w:lang w:eastAsia="zh-CN"/>
        </w:rPr>
      </w:pPr>
      <w:r>
        <w:rPr>
          <w:rFonts w:hint="eastAsia"/>
          <w:color w:val="auto"/>
          <w:u w:val="none"/>
          <w:lang w:eastAsia="zh-CN"/>
        </w:rPr>
        <w:t>（</w:t>
      </w:r>
      <w:r>
        <w:rPr>
          <w:rFonts w:hint="eastAsia"/>
          <w:color w:val="auto"/>
          <w:u w:val="none"/>
          <w:lang w:val="en-US" w:eastAsia="zh-CN"/>
        </w:rPr>
        <w:t>5</w:t>
      </w:r>
      <w:r>
        <w:rPr>
          <w:rFonts w:hint="eastAsia"/>
          <w:color w:val="auto"/>
          <w:u w:val="none"/>
          <w:lang w:eastAsia="zh-CN"/>
        </w:rPr>
        <w:t>）《中华人民共和国职业教育法》（</w:t>
      </w:r>
      <w:r>
        <w:rPr>
          <w:rFonts w:hint="eastAsia"/>
          <w:color w:val="auto"/>
          <w:u w:val="none"/>
          <w:lang w:val="en-US" w:eastAsia="zh-CN"/>
        </w:rPr>
        <w:t>2022年修订</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40" w:lineRule="exact"/>
        <w:textAlignment w:val="auto"/>
        <w:rPr>
          <w:rFonts w:hint="eastAsia"/>
          <w:color w:val="auto"/>
          <w:u w:val="none"/>
          <w:lang w:val="en-US" w:eastAsia="zh-CN"/>
        </w:rPr>
      </w:pPr>
      <w:r>
        <w:rPr>
          <w:rFonts w:hint="eastAsia"/>
          <w:color w:val="auto"/>
          <w:u w:val="none"/>
        </w:rPr>
        <w:t>（</w:t>
      </w:r>
      <w:r>
        <w:rPr>
          <w:rFonts w:hint="eastAsia"/>
          <w:color w:val="auto"/>
          <w:u w:val="none"/>
          <w:lang w:val="en-US" w:eastAsia="zh-CN"/>
        </w:rPr>
        <w:t>6</w:t>
      </w:r>
      <w:r>
        <w:rPr>
          <w:rFonts w:hint="eastAsia"/>
          <w:color w:val="auto"/>
          <w:u w:val="none"/>
        </w:rPr>
        <w:t>）《湖南省中小学校幼儿园规划建设条例》（</w:t>
      </w:r>
      <w:r>
        <w:rPr>
          <w:rFonts w:hint="eastAsia"/>
          <w:color w:val="auto"/>
          <w:u w:val="none"/>
          <w:lang w:val="en-US" w:eastAsia="zh-CN"/>
        </w:rPr>
        <w:t>2021年修正</w:t>
      </w:r>
      <w:r>
        <w:rPr>
          <w:rFonts w:hint="eastAsia"/>
          <w:color w:val="auto"/>
          <w:u w:val="none"/>
        </w:rPr>
        <w:t>）</w:t>
      </w:r>
      <w:r>
        <w:rPr>
          <w:rFonts w:hint="eastAsia"/>
          <w:color w:val="auto"/>
          <w:u w:val="none"/>
          <w:lang w:eastAsia="zh-CN"/>
        </w:rPr>
        <w:t>。</w:t>
      </w:r>
    </w:p>
    <w:p>
      <w:pPr>
        <w:pStyle w:val="4"/>
        <w:rPr>
          <w:color w:val="auto"/>
          <w:u w:val="none"/>
        </w:rPr>
      </w:pPr>
      <w:r>
        <w:rPr>
          <w:rFonts w:hint="eastAsia"/>
          <w:color w:val="auto"/>
          <w:u w:val="none"/>
        </w:rPr>
        <w:t>规范、标准及相关文件</w:t>
      </w:r>
      <w:bookmarkEnd w:id="117"/>
      <w:bookmarkEnd w:id="118"/>
      <w:bookmarkEnd w:id="119"/>
      <w:bookmarkEnd w:id="120"/>
      <w:bookmarkEnd w:id="121"/>
      <w:bookmarkEnd w:id="122"/>
      <w:bookmarkEnd w:id="123"/>
      <w:bookmarkEnd w:id="124"/>
      <w:bookmarkEnd w:id="125"/>
      <w:bookmarkEnd w:id="126"/>
      <w:bookmarkEnd w:id="127"/>
      <w:bookmarkEnd w:id="128"/>
    </w:p>
    <w:p>
      <w:pPr>
        <w:pageBreakBefore w:val="0"/>
        <w:widowControl w:val="0"/>
        <w:kinsoku/>
        <w:wordWrap/>
        <w:overflowPunct/>
        <w:topLinePunct w:val="0"/>
        <w:autoSpaceDE/>
        <w:autoSpaceDN/>
        <w:bidi w:val="0"/>
        <w:adjustRightInd/>
        <w:snapToGrid/>
        <w:spacing w:line="440" w:lineRule="exact"/>
        <w:textAlignment w:val="auto"/>
        <w:rPr>
          <w:rFonts w:hint="eastAsia"/>
          <w:color w:val="auto"/>
          <w:u w:val="none"/>
          <w:lang w:eastAsia="zh-CN"/>
        </w:rPr>
      </w:pPr>
      <w:bookmarkStart w:id="129" w:name="_Toc524592652"/>
      <w:bookmarkStart w:id="130" w:name="_Toc6514"/>
      <w:bookmarkStart w:id="131" w:name="_Toc21138"/>
      <w:bookmarkStart w:id="132" w:name="_Toc762"/>
      <w:bookmarkStart w:id="133" w:name="_Toc23588"/>
      <w:bookmarkStart w:id="134" w:name="_Toc15076"/>
      <w:bookmarkStart w:id="135" w:name="_Toc24174"/>
      <w:r>
        <w:rPr>
          <w:rFonts w:hint="eastAsia"/>
          <w:color w:val="auto"/>
          <w:u w:val="none"/>
        </w:rPr>
        <w:t>（1）</w:t>
      </w:r>
      <w:r>
        <w:rPr>
          <w:color w:val="auto"/>
          <w:u w:val="none"/>
        </w:rPr>
        <w:t>《关于建立国土空间规划体系并监督实施的若干意见》</w:t>
      </w:r>
      <w:r>
        <w:rPr>
          <w:rFonts w:hint="eastAsia"/>
          <w:color w:val="auto"/>
          <w:u w:val="none"/>
          <w:lang w:eastAsia="zh-CN"/>
        </w:rPr>
        <w:t>（</w:t>
      </w:r>
      <w:r>
        <w:rPr>
          <w:color w:val="auto"/>
          <w:u w:val="none"/>
        </w:rPr>
        <w:t>中发〔2019〕18 号</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40" w:lineRule="exact"/>
        <w:textAlignment w:val="auto"/>
        <w:rPr>
          <w:rFonts w:hint="eastAsia"/>
          <w:color w:val="auto"/>
          <w:u w:val="none"/>
          <w:lang w:val="en-US" w:eastAsia="zh-CN"/>
        </w:rPr>
      </w:pPr>
      <w:r>
        <w:rPr>
          <w:rFonts w:hint="eastAsia"/>
          <w:color w:val="auto"/>
          <w:u w:val="none"/>
          <w:lang w:val="en-US" w:eastAsia="zh-CN"/>
        </w:rPr>
        <w:t>（2）中共中央、国务院《中国教育现代化2035》；</w:t>
      </w:r>
    </w:p>
    <w:p>
      <w:pPr>
        <w:pageBreakBefore w:val="0"/>
        <w:widowControl w:val="0"/>
        <w:kinsoku/>
        <w:wordWrap/>
        <w:overflowPunct/>
        <w:topLinePunct w:val="0"/>
        <w:autoSpaceDE/>
        <w:autoSpaceDN/>
        <w:bidi w:val="0"/>
        <w:adjustRightInd/>
        <w:snapToGrid/>
        <w:spacing w:line="440" w:lineRule="exact"/>
        <w:textAlignment w:val="auto"/>
        <w:rPr>
          <w:rFonts w:hint="default"/>
          <w:color w:val="auto"/>
          <w:u w:val="none"/>
          <w:lang w:val="en-US" w:eastAsia="zh-CN"/>
        </w:rPr>
      </w:pPr>
      <w:r>
        <w:rPr>
          <w:rFonts w:hint="eastAsia"/>
          <w:color w:val="auto"/>
          <w:u w:val="none"/>
          <w:lang w:val="en-US" w:eastAsia="zh-CN"/>
        </w:rPr>
        <w:t>（3）中共中央办公厅、国务院办公厅《加快推进教育现代化实施方案(2018-2022年）》；</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eastAsia="zh-CN"/>
        </w:rPr>
      </w:pPr>
      <w:r>
        <w:rPr>
          <w:rFonts w:hint="eastAsia"/>
          <w:color w:val="auto"/>
          <w:u w:val="none"/>
        </w:rPr>
        <w:t>（4）《</w:t>
      </w:r>
      <w:r>
        <w:rPr>
          <w:color w:val="auto"/>
          <w:u w:val="none"/>
        </w:rPr>
        <w:t>城市公共设施规划规范</w:t>
      </w:r>
      <w:r>
        <w:rPr>
          <w:rFonts w:hint="eastAsia"/>
          <w:color w:val="auto"/>
          <w:u w:val="none"/>
        </w:rPr>
        <w:t>》（</w:t>
      </w:r>
      <w:r>
        <w:rPr>
          <w:color w:val="auto"/>
          <w:u w:val="none"/>
        </w:rPr>
        <w:t>GB50442-2008</w:t>
      </w:r>
      <w:r>
        <w:rPr>
          <w:rFonts w:hint="eastAsia"/>
          <w:color w:val="auto"/>
          <w:u w:val="none"/>
        </w:rPr>
        <w:t>）</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eastAsia="zh-CN"/>
        </w:rPr>
      </w:pPr>
      <w:r>
        <w:rPr>
          <w:rFonts w:hint="eastAsia"/>
          <w:color w:val="auto"/>
          <w:u w:val="none"/>
        </w:rPr>
        <w:t>（2）《中小学设计规划规范》（GB50099-2011）</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eastAsia="zh-CN"/>
        </w:rPr>
      </w:pPr>
      <w:r>
        <w:rPr>
          <w:rFonts w:hint="eastAsia"/>
          <w:color w:val="auto"/>
          <w:u w:val="none"/>
        </w:rPr>
        <w:t>（3）《城市居住区规划设计标准》（GB50180-2018）</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eastAsia="zh-CN"/>
        </w:rPr>
      </w:pPr>
      <w:r>
        <w:rPr>
          <w:rFonts w:hint="eastAsia"/>
          <w:color w:val="auto"/>
          <w:u w:val="none"/>
        </w:rPr>
        <w:t>（4）</w:t>
      </w:r>
      <w:r>
        <w:rPr>
          <w:color w:val="auto"/>
          <w:u w:val="none"/>
        </w:rPr>
        <w:t>《托儿所、幼儿园建筑设计规范》</w:t>
      </w:r>
      <w:r>
        <w:rPr>
          <w:rFonts w:hint="eastAsia"/>
          <w:color w:val="auto"/>
          <w:u w:val="none"/>
        </w:rPr>
        <w:t>（</w:t>
      </w:r>
      <w:r>
        <w:rPr>
          <w:color w:val="auto"/>
          <w:u w:val="none"/>
        </w:rPr>
        <w:t>JGJ 39—</w:t>
      </w:r>
      <w:r>
        <w:rPr>
          <w:rFonts w:hint="eastAsia"/>
          <w:color w:val="auto"/>
          <w:u w:val="none"/>
        </w:rPr>
        <w:t>2016）</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eastAsia="zh-CN"/>
        </w:rPr>
      </w:pPr>
      <w:r>
        <w:rPr>
          <w:rFonts w:hint="eastAsia"/>
          <w:color w:val="auto"/>
          <w:u w:val="none"/>
        </w:rPr>
        <w:t>（5）《城市普通中小学校校舍建设标准》（2002</w:t>
      </w:r>
      <w:r>
        <w:rPr>
          <w:rFonts w:hint="eastAsia"/>
          <w:color w:val="auto"/>
          <w:u w:val="none"/>
          <w:lang w:eastAsia="zh-CN"/>
        </w:rPr>
        <w:t>年</w:t>
      </w:r>
      <w:r>
        <w:rPr>
          <w:rFonts w:hint="eastAsia"/>
          <w:color w:val="auto"/>
          <w:u w:val="none"/>
        </w:rPr>
        <w:t>）</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eastAsia="zh-CN"/>
        </w:rPr>
      </w:pPr>
      <w:r>
        <w:rPr>
          <w:rFonts w:hint="eastAsia"/>
          <w:color w:val="auto"/>
          <w:u w:val="none"/>
        </w:rPr>
        <w:t>（6）《中共中央国务院关于学前教育深化改革规范发展的若干意见》（2018年）</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eastAsia="zh-CN"/>
        </w:rPr>
      </w:pPr>
      <w:r>
        <w:rPr>
          <w:rFonts w:hint="eastAsia"/>
          <w:color w:val="auto"/>
          <w:u w:val="none"/>
        </w:rPr>
        <w:t>（7）《湖南省义务教育学校办学标准》（湘教发〔</w:t>
      </w:r>
      <w:r>
        <w:rPr>
          <w:color w:val="auto"/>
          <w:u w:val="none"/>
        </w:rPr>
        <w:t>2016</w:t>
      </w:r>
      <w:r>
        <w:rPr>
          <w:rFonts w:hint="eastAsia"/>
          <w:color w:val="auto"/>
          <w:u w:val="none"/>
        </w:rPr>
        <w:t>〕</w:t>
      </w:r>
      <w:r>
        <w:rPr>
          <w:color w:val="auto"/>
          <w:u w:val="none"/>
        </w:rPr>
        <w:t>4</w:t>
      </w:r>
      <w:r>
        <w:rPr>
          <w:rFonts w:hint="eastAsia"/>
          <w:color w:val="auto"/>
          <w:u w:val="none"/>
        </w:rPr>
        <w:t>号）</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eastAsia="zh-CN"/>
        </w:rPr>
      </w:pPr>
      <w:r>
        <w:rPr>
          <w:rFonts w:hint="eastAsia"/>
          <w:color w:val="auto"/>
          <w:u w:val="none"/>
        </w:rPr>
        <w:t>（</w:t>
      </w:r>
      <w:r>
        <w:rPr>
          <w:rFonts w:hint="eastAsia"/>
          <w:color w:val="auto"/>
          <w:u w:val="none"/>
          <w:lang w:val="en-US" w:eastAsia="zh-CN"/>
        </w:rPr>
        <w:t>8</w:t>
      </w:r>
      <w:r>
        <w:rPr>
          <w:rFonts w:hint="eastAsia"/>
          <w:color w:val="auto"/>
          <w:u w:val="none"/>
        </w:rPr>
        <w:t>）《普通高等学校建筑规划面积指标》</w:t>
      </w:r>
      <w:r>
        <w:rPr>
          <w:rFonts w:hint="eastAsia"/>
          <w:color w:val="auto"/>
          <w:u w:val="none"/>
          <w:lang w:eastAsia="zh-CN"/>
        </w:rPr>
        <w:t>（建标</w:t>
      </w:r>
      <w:r>
        <w:rPr>
          <w:rFonts w:hint="eastAsia"/>
          <w:color w:val="auto"/>
          <w:u w:val="none"/>
          <w:lang w:val="en-US" w:eastAsia="zh-CN"/>
        </w:rPr>
        <w:t>[2018]32</w:t>
      </w:r>
      <w:r>
        <w:rPr>
          <w:rFonts w:hint="eastAsia"/>
          <w:color w:val="auto"/>
          <w:u w:val="none"/>
          <w:lang w:eastAsia="zh-CN"/>
        </w:rPr>
        <w:t>号）；</w:t>
      </w:r>
    </w:p>
    <w:p>
      <w:pPr>
        <w:pageBreakBefore w:val="0"/>
        <w:widowControl w:val="0"/>
        <w:kinsoku/>
        <w:wordWrap/>
        <w:overflowPunct/>
        <w:topLinePunct w:val="0"/>
        <w:autoSpaceDE/>
        <w:autoSpaceDN/>
        <w:bidi w:val="0"/>
        <w:adjustRightInd/>
        <w:snapToGrid/>
        <w:spacing w:line="420" w:lineRule="exact"/>
        <w:textAlignment w:val="auto"/>
        <w:rPr>
          <w:rFonts w:hint="eastAsia" w:eastAsia="宋体"/>
          <w:color w:val="auto"/>
          <w:u w:val="none"/>
          <w:lang w:val="en-US" w:eastAsia="zh-CN"/>
        </w:rPr>
      </w:pPr>
      <w:r>
        <w:rPr>
          <w:rFonts w:hint="eastAsia"/>
          <w:color w:val="auto"/>
          <w:u w:val="none"/>
          <w:lang w:val="en-US" w:eastAsia="zh-CN"/>
        </w:rPr>
        <w:t>（9）《关于印发（湖南省中等职业学校设置管理办法）的通知》（湘教发[2020]15号）；</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eastAsia="zh-CN"/>
        </w:rPr>
      </w:pPr>
      <w:r>
        <w:rPr>
          <w:rFonts w:hint="eastAsia"/>
          <w:color w:val="auto"/>
          <w:u w:val="none"/>
        </w:rPr>
        <w:t>（1</w:t>
      </w:r>
      <w:r>
        <w:rPr>
          <w:rFonts w:hint="eastAsia"/>
          <w:color w:val="auto"/>
          <w:u w:val="none"/>
          <w:lang w:val="en-US" w:eastAsia="zh-CN"/>
        </w:rPr>
        <w:t>0</w:t>
      </w:r>
      <w:r>
        <w:rPr>
          <w:rFonts w:hint="eastAsia"/>
          <w:color w:val="auto"/>
          <w:u w:val="none"/>
        </w:rPr>
        <w:t>）《全日制普通中等专业学校校舍规划面积定额（试行）》</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eastAsia="zh-CN"/>
        </w:rPr>
      </w:pPr>
      <w:r>
        <w:rPr>
          <w:rFonts w:hint="eastAsia"/>
          <w:color w:val="auto"/>
          <w:u w:val="none"/>
        </w:rPr>
        <w:t>（1</w:t>
      </w:r>
      <w:r>
        <w:rPr>
          <w:rFonts w:hint="eastAsia"/>
          <w:color w:val="auto"/>
          <w:u w:val="none"/>
          <w:lang w:val="en-US" w:eastAsia="zh-CN"/>
        </w:rPr>
        <w:t>2</w:t>
      </w:r>
      <w:r>
        <w:rPr>
          <w:rFonts w:hint="eastAsia"/>
          <w:color w:val="auto"/>
          <w:u w:val="none"/>
        </w:rPr>
        <w:t>）《城市幼儿园建筑面积定额（试行）》</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eastAsia="zh-CN"/>
        </w:rPr>
      </w:pPr>
      <w:r>
        <w:rPr>
          <w:rFonts w:hint="eastAsia"/>
          <w:color w:val="auto"/>
          <w:u w:val="none"/>
        </w:rPr>
        <w:t>（1</w:t>
      </w:r>
      <w:r>
        <w:rPr>
          <w:rFonts w:hint="eastAsia"/>
          <w:color w:val="auto"/>
          <w:u w:val="none"/>
          <w:lang w:val="en-US" w:eastAsia="zh-CN"/>
        </w:rPr>
        <w:t>3</w:t>
      </w:r>
      <w:r>
        <w:rPr>
          <w:rFonts w:hint="eastAsia"/>
          <w:color w:val="auto"/>
          <w:u w:val="none"/>
        </w:rPr>
        <w:t>）《湖南省幼儿园办园标准》</w:t>
      </w:r>
      <w:r>
        <w:rPr>
          <w:rFonts w:hint="eastAsia"/>
          <w:color w:val="auto"/>
          <w:u w:val="none"/>
          <w:lang w:eastAsia="zh-CN"/>
        </w:rPr>
        <w:t>（湘教发［2008］54号）；</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eastAsia="zh-CN"/>
        </w:rPr>
      </w:pPr>
      <w:r>
        <w:rPr>
          <w:rFonts w:hint="eastAsia"/>
          <w:color w:val="auto"/>
          <w:u w:val="none"/>
        </w:rPr>
        <w:t>（1</w:t>
      </w:r>
      <w:r>
        <w:rPr>
          <w:rFonts w:hint="eastAsia"/>
          <w:color w:val="auto"/>
          <w:u w:val="none"/>
          <w:lang w:val="en-US" w:eastAsia="zh-CN"/>
        </w:rPr>
        <w:t>4</w:t>
      </w:r>
      <w:r>
        <w:rPr>
          <w:rFonts w:hint="eastAsia"/>
          <w:color w:val="auto"/>
          <w:u w:val="none"/>
        </w:rPr>
        <w:t>）</w:t>
      </w:r>
      <w:r>
        <w:rPr>
          <w:rFonts w:hint="eastAsia" w:asciiTheme="minorAscii" w:hAnsiTheme="minorAscii" w:eastAsiaTheme="minorEastAsia" w:cstheme="minorBidi"/>
          <w:color w:val="auto"/>
          <w:kern w:val="2"/>
          <w:sz w:val="24"/>
          <w:szCs w:val="22"/>
          <w:u w:val="none"/>
          <w:shd w:val="clear"/>
          <w:lang w:eastAsia="zh-CN"/>
        </w:rPr>
        <w:t>《常德市国土空间</w:t>
      </w:r>
      <w:r>
        <w:rPr>
          <w:rFonts w:hint="eastAsia" w:eastAsiaTheme="minorEastAsia" w:cstheme="minorBidi"/>
          <w:color w:val="auto"/>
          <w:kern w:val="2"/>
          <w:sz w:val="24"/>
          <w:szCs w:val="22"/>
          <w:u w:val="none"/>
          <w:shd w:val="clear"/>
          <w:lang w:eastAsia="zh-CN"/>
        </w:rPr>
        <w:t>总体</w:t>
      </w:r>
      <w:r>
        <w:rPr>
          <w:rFonts w:hint="eastAsia" w:asciiTheme="minorAscii" w:hAnsiTheme="minorAscii" w:eastAsiaTheme="minorEastAsia" w:cstheme="minorBidi"/>
          <w:color w:val="auto"/>
          <w:kern w:val="2"/>
          <w:sz w:val="24"/>
          <w:szCs w:val="22"/>
          <w:u w:val="none"/>
          <w:shd w:val="clear"/>
          <w:lang w:eastAsia="zh-CN"/>
        </w:rPr>
        <w:t>规划（</w:t>
      </w:r>
      <w:r>
        <w:rPr>
          <w:rFonts w:hint="eastAsia" w:eastAsiaTheme="minorEastAsia" w:cstheme="minorBidi"/>
          <w:color w:val="auto"/>
          <w:kern w:val="2"/>
          <w:sz w:val="24"/>
          <w:szCs w:val="22"/>
          <w:u w:val="none"/>
          <w:shd w:val="clear"/>
          <w:lang w:val="en-US" w:eastAsia="zh-CN"/>
        </w:rPr>
        <w:t>2021-2035年</w:t>
      </w:r>
      <w:r>
        <w:rPr>
          <w:rFonts w:hint="eastAsia" w:asciiTheme="minorAscii" w:hAnsiTheme="minorAscii" w:eastAsiaTheme="minorEastAsia" w:cstheme="minorBidi"/>
          <w:color w:val="auto"/>
          <w:kern w:val="2"/>
          <w:sz w:val="24"/>
          <w:szCs w:val="22"/>
          <w:u w:val="none"/>
          <w:shd w:val="clear"/>
          <w:lang w:val="en-US" w:eastAsia="zh-CN"/>
        </w:rPr>
        <w:t>）</w:t>
      </w:r>
      <w:r>
        <w:rPr>
          <w:rFonts w:hint="eastAsia" w:cstheme="minorBidi"/>
          <w:color w:val="auto"/>
          <w:kern w:val="2"/>
          <w:sz w:val="24"/>
          <w:szCs w:val="22"/>
          <w:u w:val="none"/>
          <w:shd w:val="clear"/>
          <w:lang w:val="en-US" w:eastAsia="zh-CN"/>
        </w:rPr>
        <w:t>》（在编）</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eastAsia="zh-CN"/>
        </w:rPr>
      </w:pPr>
      <w:r>
        <w:rPr>
          <w:rFonts w:hint="eastAsia"/>
          <w:color w:val="auto"/>
          <w:u w:val="none"/>
        </w:rPr>
        <w:t>（1</w:t>
      </w:r>
      <w:r>
        <w:rPr>
          <w:rFonts w:hint="eastAsia"/>
          <w:color w:val="auto"/>
          <w:u w:val="none"/>
          <w:lang w:val="en-US" w:eastAsia="zh-CN"/>
        </w:rPr>
        <w:t>5</w:t>
      </w:r>
      <w:r>
        <w:rPr>
          <w:rFonts w:hint="eastAsia"/>
          <w:color w:val="auto"/>
          <w:u w:val="none"/>
        </w:rPr>
        <w:t>）《常德市教育改革与发展“十</w:t>
      </w:r>
      <w:r>
        <w:rPr>
          <w:rFonts w:hint="eastAsia"/>
          <w:color w:val="auto"/>
          <w:u w:val="none"/>
          <w:lang w:eastAsia="zh-CN"/>
        </w:rPr>
        <w:t>四</w:t>
      </w:r>
      <w:r>
        <w:rPr>
          <w:rFonts w:hint="eastAsia"/>
          <w:color w:val="auto"/>
          <w:u w:val="none"/>
        </w:rPr>
        <w:t>五”规划纲要》</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eastAsia="zh-CN"/>
        </w:rPr>
      </w:pPr>
      <w:r>
        <w:rPr>
          <w:rFonts w:hint="eastAsia"/>
          <w:color w:val="auto"/>
          <w:u w:val="none"/>
          <w:lang w:eastAsia="zh-CN"/>
        </w:rPr>
        <w:t>（</w:t>
      </w:r>
      <w:r>
        <w:rPr>
          <w:rFonts w:hint="eastAsia"/>
          <w:color w:val="auto"/>
          <w:u w:val="none"/>
          <w:lang w:val="en-US" w:eastAsia="zh-CN"/>
        </w:rPr>
        <w:t>16</w:t>
      </w:r>
      <w:r>
        <w:rPr>
          <w:rFonts w:hint="eastAsia"/>
          <w:color w:val="auto"/>
          <w:u w:val="none"/>
          <w:lang w:eastAsia="zh-CN"/>
        </w:rPr>
        <w:t>）</w:t>
      </w:r>
      <w:r>
        <w:rPr>
          <w:color w:val="auto"/>
          <w:u w:val="none"/>
        </w:rPr>
        <w:t>常德市国民经济和社会发展第十四个五年规划和二〇三五年远景目标纲要</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eastAsia="zh-CN"/>
        </w:rPr>
      </w:pPr>
      <w:r>
        <w:rPr>
          <w:rFonts w:hint="eastAsia"/>
          <w:color w:val="auto"/>
          <w:u w:val="none"/>
        </w:rPr>
        <w:t>（1</w:t>
      </w:r>
      <w:r>
        <w:rPr>
          <w:rFonts w:hint="eastAsia"/>
          <w:color w:val="auto"/>
          <w:u w:val="none"/>
          <w:lang w:val="en-US" w:eastAsia="zh-CN"/>
        </w:rPr>
        <w:t>7</w:t>
      </w:r>
      <w:r>
        <w:rPr>
          <w:rFonts w:hint="eastAsia"/>
          <w:color w:val="auto"/>
          <w:u w:val="none"/>
        </w:rPr>
        <w:t>）常德市人民政府贯彻落实《湖南省中小学校幼儿园规划建设条例》实施办法</w:t>
      </w:r>
      <w:r>
        <w:rPr>
          <w:rFonts w:hint="eastAsia"/>
          <w:color w:val="auto"/>
          <w:u w:val="none"/>
          <w:lang w:eastAsia="zh-CN"/>
        </w:rPr>
        <w:t>（</w:t>
      </w:r>
      <w:r>
        <w:rPr>
          <w:rFonts w:ascii="微软雅黑" w:hAnsi="微软雅黑" w:eastAsia="微软雅黑" w:cs="微软雅黑"/>
          <w:i w:val="0"/>
          <w:iCs w:val="0"/>
          <w:caps w:val="0"/>
          <w:color w:val="auto"/>
          <w:spacing w:val="0"/>
          <w:sz w:val="19"/>
          <w:szCs w:val="19"/>
          <w:u w:val="none"/>
          <w:shd w:val="clear" w:fill="FFFFFF"/>
        </w:rPr>
        <w:t>2019年</w:t>
      </w:r>
      <w:r>
        <w:rPr>
          <w:rFonts w:hint="eastAsia"/>
          <w:color w:val="auto"/>
          <w:u w:val="none"/>
          <w:lang w:eastAsia="zh-CN"/>
        </w:rPr>
        <w:t>）；</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val="en-US" w:eastAsia="zh-CN"/>
        </w:rPr>
      </w:pPr>
      <w:r>
        <w:rPr>
          <w:rFonts w:hint="eastAsia"/>
          <w:color w:val="auto"/>
          <w:u w:val="none"/>
          <w:lang w:eastAsia="zh-CN"/>
        </w:rPr>
        <w:t>（</w:t>
      </w:r>
      <w:r>
        <w:rPr>
          <w:rFonts w:hint="eastAsia"/>
          <w:color w:val="auto"/>
          <w:u w:val="none"/>
          <w:lang w:val="en-US" w:eastAsia="zh-CN"/>
        </w:rPr>
        <w:t>18</w:t>
      </w:r>
      <w:r>
        <w:rPr>
          <w:rFonts w:hint="eastAsia"/>
          <w:color w:val="auto"/>
          <w:u w:val="none"/>
          <w:lang w:eastAsia="zh-CN"/>
        </w:rPr>
        <w:t>）</w:t>
      </w:r>
      <w:r>
        <w:rPr>
          <w:rFonts w:hint="eastAsia"/>
          <w:color w:val="auto"/>
          <w:u w:val="none"/>
        </w:rPr>
        <w:t>《常德市中小学校幼儿园规划建设暂行规定》常政办发〔2019〕12号</w:t>
      </w:r>
      <w:r>
        <w:rPr>
          <w:rFonts w:hint="eastAsia"/>
          <w:color w:val="auto"/>
          <w:u w:val="none"/>
          <w:lang w:val="en-US" w:eastAsia="zh-CN"/>
        </w:rPr>
        <w:t>；</w:t>
      </w:r>
    </w:p>
    <w:p>
      <w:pPr>
        <w:pageBreakBefore w:val="0"/>
        <w:widowControl w:val="0"/>
        <w:kinsoku/>
        <w:wordWrap/>
        <w:overflowPunct/>
        <w:topLinePunct w:val="0"/>
        <w:autoSpaceDE/>
        <w:autoSpaceDN/>
        <w:bidi w:val="0"/>
        <w:adjustRightInd/>
        <w:snapToGrid/>
        <w:spacing w:line="420" w:lineRule="exact"/>
        <w:textAlignment w:val="auto"/>
        <w:rPr>
          <w:rFonts w:hint="eastAsia"/>
          <w:color w:val="auto"/>
          <w:u w:val="none"/>
          <w:lang w:val="en-US" w:eastAsia="zh-CN"/>
        </w:rPr>
      </w:pPr>
      <w:r>
        <w:rPr>
          <w:rFonts w:hint="eastAsia"/>
          <w:color w:val="auto"/>
          <w:u w:val="none"/>
          <w:lang w:eastAsia="zh-CN"/>
        </w:rPr>
        <w:t>（</w:t>
      </w:r>
      <w:r>
        <w:rPr>
          <w:rFonts w:hint="eastAsia"/>
          <w:color w:val="auto"/>
          <w:u w:val="none"/>
          <w:lang w:val="en-US" w:eastAsia="zh-CN"/>
        </w:rPr>
        <w:t>19</w:t>
      </w:r>
      <w:r>
        <w:rPr>
          <w:rFonts w:hint="eastAsia"/>
          <w:color w:val="auto"/>
          <w:u w:val="none"/>
          <w:lang w:eastAsia="zh-CN"/>
        </w:rPr>
        <w:t>）常德教育事业统计年鉴</w:t>
      </w:r>
      <w:r>
        <w:rPr>
          <w:rFonts w:hint="eastAsia"/>
          <w:color w:val="auto"/>
          <w:u w:val="none"/>
          <w:lang w:val="en-US" w:eastAsia="zh-CN"/>
        </w:rPr>
        <w:t>2021（常德市教育局）；</w:t>
      </w:r>
    </w:p>
    <w:p>
      <w:pPr>
        <w:bidi w:val="0"/>
        <w:spacing w:line="420" w:lineRule="exact"/>
        <w:rPr>
          <w:rFonts w:hint="eastAsia"/>
          <w:color w:val="auto"/>
          <w:u w:val="none"/>
          <w:lang w:eastAsia="zh-CN"/>
        </w:rPr>
      </w:pPr>
      <w:r>
        <w:rPr>
          <w:rFonts w:hint="eastAsia"/>
          <w:color w:val="auto"/>
          <w:u w:val="none"/>
        </w:rPr>
        <w:t>（</w:t>
      </w:r>
      <w:r>
        <w:rPr>
          <w:rFonts w:hint="eastAsia"/>
          <w:color w:val="auto"/>
          <w:u w:val="none"/>
          <w:lang w:val="en-US" w:eastAsia="zh-CN"/>
        </w:rPr>
        <w:t>20</w:t>
      </w:r>
      <w:r>
        <w:rPr>
          <w:rFonts w:hint="eastAsia"/>
          <w:color w:val="auto"/>
          <w:u w:val="none"/>
        </w:rPr>
        <w:t>）其他相关规范、标准及文件</w:t>
      </w:r>
      <w:r>
        <w:rPr>
          <w:rFonts w:hint="eastAsia"/>
          <w:color w:val="auto"/>
          <w:u w:val="none"/>
          <w:lang w:eastAsia="zh-CN"/>
        </w:rPr>
        <w:t>。</w:t>
      </w:r>
    </w:p>
    <w:bookmarkEnd w:id="129"/>
    <w:bookmarkEnd w:id="130"/>
    <w:p>
      <w:pPr>
        <w:pStyle w:val="3"/>
        <w:bidi w:val="0"/>
        <w:spacing w:line="440" w:lineRule="exact"/>
        <w:outlineLvl w:val="0"/>
        <w:rPr>
          <w:rFonts w:hint="eastAsia"/>
          <w:color w:val="auto"/>
          <w:u w:val="none"/>
          <w:lang w:eastAsia="zh-CN"/>
        </w:rPr>
      </w:pPr>
      <w:bookmarkStart w:id="136" w:name="_Toc5975"/>
      <w:r>
        <w:rPr>
          <w:rFonts w:hint="eastAsia"/>
          <w:color w:val="auto"/>
          <w:u w:val="none"/>
          <w:lang w:eastAsia="zh-CN"/>
        </w:rPr>
        <w:t>规划原则</w:t>
      </w:r>
      <w:bookmarkEnd w:id="131"/>
      <w:bookmarkEnd w:id="132"/>
      <w:bookmarkEnd w:id="133"/>
      <w:bookmarkEnd w:id="134"/>
      <w:bookmarkEnd w:id="136"/>
    </w:p>
    <w:bookmarkEnd w:id="113"/>
    <w:bookmarkEnd w:id="114"/>
    <w:bookmarkEnd w:id="115"/>
    <w:bookmarkEnd w:id="116"/>
    <w:bookmarkEnd w:id="135"/>
    <w:p>
      <w:pPr>
        <w:bidi w:val="0"/>
        <w:rPr>
          <w:rFonts w:hint="eastAsia"/>
          <w:u w:val="none"/>
        </w:rPr>
      </w:pPr>
      <w:r>
        <w:rPr>
          <w:rFonts w:hint="eastAsia"/>
          <w:u w:val="none"/>
        </w:rPr>
        <w:t>（1）</w:t>
      </w:r>
      <w:r>
        <w:rPr>
          <w:rFonts w:hint="eastAsia"/>
          <w:u w:val="none"/>
          <w:lang w:eastAsia="zh-CN"/>
        </w:rPr>
        <w:t>科教兴国，育</w:t>
      </w:r>
      <w:r>
        <w:rPr>
          <w:rFonts w:hint="eastAsia"/>
          <w:u w:val="none"/>
        </w:rPr>
        <w:t>人为</w:t>
      </w:r>
      <w:r>
        <w:rPr>
          <w:rFonts w:hint="eastAsia"/>
          <w:u w:val="none"/>
          <w:lang w:eastAsia="zh-CN"/>
        </w:rPr>
        <w:t>先</w:t>
      </w:r>
    </w:p>
    <w:p>
      <w:pPr>
        <w:bidi w:val="0"/>
        <w:rPr>
          <w:rFonts w:hint="default"/>
          <w:u w:val="none"/>
          <w:lang w:val="en-US" w:eastAsia="zh-CN"/>
        </w:rPr>
      </w:pPr>
      <w:r>
        <w:rPr>
          <w:rFonts w:hint="eastAsia"/>
          <w:u w:val="none"/>
          <w:lang w:eastAsia="zh-CN"/>
        </w:rPr>
        <w:t>（</w:t>
      </w:r>
      <w:r>
        <w:rPr>
          <w:rFonts w:hint="eastAsia"/>
          <w:u w:val="none"/>
          <w:lang w:val="en-US" w:eastAsia="zh-CN"/>
        </w:rPr>
        <w:t>2）均衡布局，</w:t>
      </w:r>
      <w:r>
        <w:rPr>
          <w:rFonts w:hint="eastAsia"/>
          <w:u w:val="none"/>
          <w:lang w:eastAsia="zh-CN"/>
        </w:rPr>
        <w:t>公平合理</w:t>
      </w:r>
    </w:p>
    <w:p>
      <w:pPr>
        <w:bidi w:val="0"/>
        <w:rPr>
          <w:rFonts w:hint="default"/>
          <w:u w:val="none"/>
          <w:lang w:val="en-US"/>
        </w:rPr>
      </w:pPr>
      <w:r>
        <w:rPr>
          <w:rFonts w:hint="eastAsia"/>
          <w:u w:val="none"/>
          <w:lang w:eastAsia="zh-CN"/>
        </w:rPr>
        <w:t>（</w:t>
      </w:r>
      <w:r>
        <w:rPr>
          <w:rFonts w:hint="eastAsia"/>
          <w:u w:val="none"/>
          <w:lang w:val="en-US" w:eastAsia="zh-CN"/>
        </w:rPr>
        <w:t>3）</w:t>
      </w:r>
      <w:r>
        <w:rPr>
          <w:rFonts w:hint="eastAsia"/>
          <w:u w:val="none"/>
          <w:lang w:eastAsia="zh-CN"/>
        </w:rPr>
        <w:t>集约节约，合理预留</w:t>
      </w:r>
    </w:p>
    <w:p>
      <w:pPr>
        <w:bidi w:val="0"/>
        <w:rPr>
          <w:rFonts w:hint="eastAsia"/>
          <w:u w:val="none"/>
          <w:lang w:eastAsia="zh-CN"/>
        </w:rPr>
      </w:pPr>
      <w:r>
        <w:rPr>
          <w:rFonts w:hint="eastAsia"/>
          <w:u w:val="none"/>
        </w:rPr>
        <w:t>（4）</w:t>
      </w:r>
      <w:r>
        <w:rPr>
          <w:rFonts w:hint="eastAsia"/>
          <w:u w:val="none"/>
          <w:lang w:eastAsia="zh-CN"/>
        </w:rPr>
        <w:t>远近结合，</w:t>
      </w:r>
      <w:r>
        <w:rPr>
          <w:rFonts w:hint="eastAsia"/>
          <w:u w:val="none"/>
        </w:rPr>
        <w:t>持续发展</w:t>
      </w:r>
    </w:p>
    <w:p>
      <w:pPr>
        <w:bidi w:val="0"/>
        <w:rPr>
          <w:rFonts w:hint="eastAsia"/>
          <w:u w:val="none"/>
          <w:lang w:eastAsia="zh-CN"/>
        </w:rPr>
      </w:pPr>
      <w:r>
        <w:rPr>
          <w:rFonts w:hint="eastAsia"/>
          <w:u w:val="none"/>
          <w:lang w:eastAsia="zh-CN"/>
        </w:rPr>
        <w:t>（</w:t>
      </w:r>
      <w:r>
        <w:rPr>
          <w:rFonts w:hint="eastAsia"/>
          <w:u w:val="none"/>
          <w:lang w:val="en-US" w:eastAsia="zh-CN"/>
        </w:rPr>
        <w:t>5</w:t>
      </w:r>
      <w:r>
        <w:rPr>
          <w:rFonts w:hint="eastAsia"/>
          <w:u w:val="none"/>
          <w:lang w:eastAsia="zh-CN"/>
        </w:rPr>
        <w:t>）教育强市、教育优先</w:t>
      </w:r>
    </w:p>
    <w:p>
      <w:pPr>
        <w:pStyle w:val="3"/>
        <w:bidi w:val="0"/>
        <w:spacing w:line="440" w:lineRule="exact"/>
        <w:outlineLvl w:val="0"/>
        <w:rPr>
          <w:color w:val="auto"/>
          <w:u w:val="none"/>
        </w:rPr>
      </w:pPr>
      <w:bookmarkStart w:id="137" w:name="_Toc12269"/>
      <w:bookmarkStart w:id="138" w:name="_Toc14165"/>
      <w:bookmarkStart w:id="139" w:name="_Toc12676"/>
      <w:bookmarkStart w:id="140" w:name="_Toc7503"/>
      <w:bookmarkStart w:id="141" w:name="_Toc31022"/>
      <w:bookmarkStart w:id="142" w:name="_Toc10435"/>
      <w:r>
        <w:rPr>
          <w:rFonts w:hint="eastAsia"/>
          <w:color w:val="auto"/>
          <w:u w:val="none"/>
          <w:lang w:eastAsia="zh-CN"/>
        </w:rPr>
        <w:t>规划期限</w:t>
      </w:r>
      <w:bookmarkEnd w:id="137"/>
      <w:bookmarkEnd w:id="138"/>
      <w:bookmarkEnd w:id="139"/>
      <w:bookmarkEnd w:id="140"/>
      <w:bookmarkEnd w:id="141"/>
      <w:bookmarkEnd w:id="142"/>
    </w:p>
    <w:p>
      <w:pPr>
        <w:pageBreakBefore w:val="0"/>
        <w:widowControl w:val="0"/>
        <w:kinsoku/>
        <w:wordWrap/>
        <w:overflowPunct/>
        <w:topLinePunct w:val="0"/>
        <w:autoSpaceDE/>
        <w:autoSpaceDN/>
        <w:bidi w:val="0"/>
        <w:adjustRightInd/>
        <w:snapToGrid/>
        <w:spacing w:line="440" w:lineRule="exact"/>
        <w:textAlignment w:val="auto"/>
        <w:rPr>
          <w:color w:val="auto"/>
          <w:u w:val="none"/>
        </w:rPr>
      </w:pPr>
      <w:r>
        <w:rPr>
          <w:rFonts w:hint="eastAsia"/>
          <w:color w:val="auto"/>
          <w:u w:val="none"/>
        </w:rPr>
        <w:t>规划期限： 20</w:t>
      </w:r>
      <w:r>
        <w:rPr>
          <w:rFonts w:hint="eastAsia"/>
          <w:color w:val="auto"/>
          <w:u w:val="none"/>
          <w:lang w:val="en-US" w:eastAsia="zh-CN"/>
        </w:rPr>
        <w:t>22</w:t>
      </w:r>
      <w:r>
        <w:rPr>
          <w:rFonts w:hint="eastAsia"/>
          <w:color w:val="auto"/>
          <w:u w:val="none"/>
        </w:rPr>
        <w:t>年</w:t>
      </w:r>
      <w:r>
        <w:rPr>
          <w:rFonts w:hint="eastAsia"/>
          <w:color w:val="auto"/>
          <w:u w:val="none"/>
          <w:lang w:eastAsia="zh-CN"/>
        </w:rPr>
        <w:t>—</w:t>
      </w:r>
      <w:r>
        <w:rPr>
          <w:rFonts w:hint="eastAsia"/>
          <w:color w:val="auto"/>
          <w:u w:val="none"/>
        </w:rPr>
        <w:t>203</w:t>
      </w:r>
      <w:r>
        <w:rPr>
          <w:rFonts w:hint="eastAsia"/>
          <w:color w:val="auto"/>
          <w:u w:val="none"/>
          <w:lang w:val="en-US" w:eastAsia="zh-CN"/>
        </w:rPr>
        <w:t>5</w:t>
      </w:r>
      <w:r>
        <w:rPr>
          <w:rFonts w:hint="eastAsia"/>
          <w:color w:val="auto"/>
          <w:u w:val="none"/>
        </w:rPr>
        <w:t>年。其中：</w:t>
      </w:r>
    </w:p>
    <w:p>
      <w:pPr>
        <w:bidi w:val="0"/>
        <w:spacing w:line="440" w:lineRule="exact"/>
        <w:rPr>
          <w:rFonts w:hint="eastAsia"/>
          <w:color w:val="auto"/>
          <w:u w:val="none"/>
        </w:rPr>
      </w:pPr>
      <w:r>
        <w:rPr>
          <w:rFonts w:hint="eastAsia"/>
          <w:color w:val="auto"/>
          <w:u w:val="none"/>
        </w:rPr>
        <w:t>基年：20</w:t>
      </w:r>
      <w:r>
        <w:rPr>
          <w:rFonts w:hint="eastAsia"/>
          <w:color w:val="auto"/>
          <w:u w:val="none"/>
          <w:lang w:val="en-US" w:eastAsia="zh-CN"/>
        </w:rPr>
        <w:t>21</w:t>
      </w:r>
      <w:r>
        <w:rPr>
          <w:rFonts w:hint="eastAsia"/>
          <w:color w:val="auto"/>
          <w:u w:val="none"/>
        </w:rPr>
        <w:t>年；近期：20</w:t>
      </w:r>
      <w:r>
        <w:rPr>
          <w:rFonts w:hint="eastAsia"/>
          <w:color w:val="auto"/>
          <w:u w:val="none"/>
          <w:lang w:val="en-US" w:eastAsia="zh-CN"/>
        </w:rPr>
        <w:t>22</w:t>
      </w:r>
      <w:r>
        <w:rPr>
          <w:rFonts w:hint="eastAsia"/>
          <w:color w:val="auto"/>
          <w:u w:val="none"/>
        </w:rPr>
        <w:t>年</w:t>
      </w:r>
      <w:r>
        <w:rPr>
          <w:rFonts w:hint="eastAsia"/>
          <w:color w:val="auto"/>
          <w:u w:val="none"/>
          <w:lang w:eastAsia="zh-CN"/>
        </w:rPr>
        <w:t>—</w:t>
      </w:r>
      <w:r>
        <w:rPr>
          <w:rFonts w:hint="eastAsia"/>
          <w:color w:val="auto"/>
          <w:u w:val="none"/>
        </w:rPr>
        <w:t>202</w:t>
      </w:r>
      <w:r>
        <w:rPr>
          <w:rFonts w:hint="eastAsia"/>
          <w:color w:val="auto"/>
          <w:u w:val="none"/>
          <w:lang w:val="en-US" w:eastAsia="zh-CN"/>
        </w:rPr>
        <w:t>5</w:t>
      </w:r>
      <w:r>
        <w:rPr>
          <w:rFonts w:hint="eastAsia"/>
          <w:color w:val="auto"/>
          <w:u w:val="none"/>
        </w:rPr>
        <w:t>年；远期：202</w:t>
      </w:r>
      <w:r>
        <w:rPr>
          <w:rFonts w:hint="eastAsia"/>
          <w:color w:val="auto"/>
          <w:u w:val="none"/>
          <w:lang w:val="en-US" w:eastAsia="zh-CN"/>
        </w:rPr>
        <w:t>6</w:t>
      </w:r>
      <w:r>
        <w:rPr>
          <w:rFonts w:hint="eastAsia"/>
          <w:color w:val="auto"/>
          <w:u w:val="none"/>
        </w:rPr>
        <w:t>年</w:t>
      </w:r>
      <w:r>
        <w:rPr>
          <w:rFonts w:hint="eastAsia"/>
          <w:color w:val="auto"/>
          <w:u w:val="none"/>
          <w:lang w:eastAsia="zh-CN"/>
        </w:rPr>
        <w:t>—</w:t>
      </w:r>
      <w:r>
        <w:rPr>
          <w:rFonts w:hint="eastAsia"/>
          <w:color w:val="auto"/>
          <w:u w:val="none"/>
        </w:rPr>
        <w:t>203</w:t>
      </w:r>
      <w:r>
        <w:rPr>
          <w:rFonts w:hint="eastAsia"/>
          <w:color w:val="auto"/>
          <w:u w:val="none"/>
          <w:lang w:val="en-US" w:eastAsia="zh-CN"/>
        </w:rPr>
        <w:t>5</w:t>
      </w:r>
      <w:r>
        <w:rPr>
          <w:rFonts w:hint="eastAsia"/>
          <w:color w:val="auto"/>
          <w:u w:val="none"/>
        </w:rPr>
        <w:t>年。</w:t>
      </w:r>
    </w:p>
    <w:p>
      <w:pPr>
        <w:pStyle w:val="3"/>
        <w:pageBreakBefore w:val="0"/>
        <w:widowControl w:val="0"/>
        <w:kinsoku/>
        <w:wordWrap/>
        <w:overflowPunct/>
        <w:topLinePunct w:val="0"/>
        <w:autoSpaceDE/>
        <w:autoSpaceDN/>
        <w:bidi w:val="0"/>
        <w:adjustRightInd/>
        <w:snapToGrid/>
        <w:spacing w:line="440" w:lineRule="exact"/>
        <w:jc w:val="left"/>
        <w:textAlignment w:val="auto"/>
        <w:outlineLvl w:val="0"/>
        <w:rPr>
          <w:color w:val="auto"/>
          <w:u w:val="none"/>
        </w:rPr>
      </w:pPr>
      <w:bookmarkStart w:id="143" w:name="_Toc12492"/>
      <w:bookmarkStart w:id="144" w:name="_Toc14462"/>
      <w:bookmarkStart w:id="145" w:name="_Toc30619"/>
      <w:bookmarkStart w:id="146" w:name="_Toc21707"/>
      <w:bookmarkStart w:id="147" w:name="_Toc2673"/>
      <w:bookmarkStart w:id="148" w:name="_Toc9749"/>
      <w:bookmarkStart w:id="149" w:name="_Toc31797"/>
      <w:bookmarkStart w:id="150" w:name="_Toc20420"/>
      <w:bookmarkStart w:id="151" w:name="_Toc15602"/>
      <w:r>
        <w:rPr>
          <w:rFonts w:hint="eastAsia"/>
          <w:color w:val="auto"/>
          <w:u w:val="none"/>
        </w:rPr>
        <w:t>规划目标</w:t>
      </w:r>
      <w:bookmarkEnd w:id="143"/>
      <w:bookmarkEnd w:id="144"/>
      <w:bookmarkEnd w:id="145"/>
      <w:bookmarkEnd w:id="146"/>
      <w:bookmarkEnd w:id="147"/>
      <w:bookmarkEnd w:id="148"/>
      <w:bookmarkEnd w:id="149"/>
      <w:bookmarkEnd w:id="150"/>
      <w:bookmarkEnd w:id="151"/>
    </w:p>
    <w:p>
      <w:pPr>
        <w:rPr>
          <w:color w:val="auto"/>
          <w:u w:val="none"/>
        </w:rPr>
      </w:pPr>
      <w:r>
        <w:rPr>
          <w:rFonts w:hint="eastAsia"/>
          <w:color w:val="auto"/>
          <w:u w:val="none"/>
        </w:rPr>
        <w:t xml:space="preserve"> 优化教育资源配置</w:t>
      </w:r>
      <w:r>
        <w:rPr>
          <w:rFonts w:hint="eastAsia"/>
          <w:color w:val="auto"/>
          <w:u w:val="none"/>
          <w:lang w:eastAsia="zh-CN"/>
        </w:rPr>
        <w:t>，</w:t>
      </w:r>
      <w:r>
        <w:rPr>
          <w:rFonts w:hint="eastAsia"/>
          <w:color w:val="auto"/>
          <w:u w:val="none"/>
        </w:rPr>
        <w:t>实现“布局基本合理，建设全面达标，发展相对均衡”的</w:t>
      </w:r>
      <w:r>
        <w:rPr>
          <w:rFonts w:hint="eastAsia"/>
          <w:color w:val="auto"/>
          <w:u w:val="none"/>
          <w:lang w:eastAsia="zh-CN"/>
        </w:rPr>
        <w:t>总体</w:t>
      </w:r>
      <w:r>
        <w:rPr>
          <w:rFonts w:hint="eastAsia"/>
          <w:color w:val="auto"/>
          <w:u w:val="none"/>
        </w:rPr>
        <w:t>目标。</w:t>
      </w: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82"/>
    <w:bookmarkEnd w:id="83"/>
    <w:bookmarkEnd w:id="84"/>
    <w:bookmarkEnd w:id="85"/>
    <w:p>
      <w:pPr>
        <w:pStyle w:val="2"/>
        <w:keepNext w:val="0"/>
        <w:keepLines w:val="0"/>
        <w:pageBreakBefore w:val="0"/>
        <w:widowControl w:val="0"/>
        <w:kinsoku/>
        <w:wordWrap/>
        <w:overflowPunct/>
        <w:topLinePunct w:val="0"/>
        <w:autoSpaceDE/>
        <w:autoSpaceDN/>
        <w:bidi w:val="0"/>
        <w:adjustRightInd/>
        <w:snapToGrid/>
        <w:ind w:left="0" w:firstLine="0"/>
        <w:textAlignment w:val="auto"/>
        <w:rPr>
          <w:color w:val="auto"/>
          <w:u w:val="none"/>
        </w:rPr>
      </w:pPr>
      <w:bookmarkStart w:id="152" w:name="_Toc6341"/>
      <w:r>
        <w:rPr>
          <w:rFonts w:hint="eastAsia"/>
          <w:color w:val="auto"/>
          <w:u w:val="none"/>
          <w:lang w:eastAsia="zh-CN"/>
        </w:rPr>
        <w:t>新增</w:t>
      </w:r>
      <w:r>
        <w:rPr>
          <w:rFonts w:hint="eastAsia"/>
          <w:color w:val="auto"/>
          <w:u w:val="none"/>
        </w:rPr>
        <w:t>规模预测</w:t>
      </w:r>
      <w:bookmarkEnd w:id="152"/>
    </w:p>
    <w:p>
      <w:pPr>
        <w:pStyle w:val="3"/>
        <w:bidi w:val="0"/>
        <w:outlineLvl w:val="0"/>
        <w:rPr>
          <w:rFonts w:hint="eastAsia"/>
          <w:color w:val="auto"/>
          <w:u w:val="none"/>
          <w:lang w:eastAsia="zh-CN"/>
        </w:rPr>
      </w:pPr>
      <w:bookmarkStart w:id="153" w:name="_Toc25198"/>
      <w:bookmarkStart w:id="154" w:name="_Toc17348"/>
      <w:bookmarkStart w:id="155" w:name="_Toc29751"/>
      <w:bookmarkStart w:id="156" w:name="_Toc30127"/>
      <w:bookmarkStart w:id="157" w:name="_Toc29202"/>
      <w:bookmarkStart w:id="158" w:name="_Toc19998"/>
      <w:bookmarkStart w:id="159" w:name="_Toc15958"/>
      <w:bookmarkStart w:id="160" w:name="_Toc8027"/>
      <w:bookmarkStart w:id="161" w:name="_Toc4937"/>
      <w:bookmarkStart w:id="162" w:name="_Toc1921939"/>
      <w:bookmarkStart w:id="163" w:name="_Toc536211577"/>
      <w:bookmarkStart w:id="164" w:name="_Toc2000361"/>
      <w:bookmarkStart w:id="165" w:name="_Toc28975"/>
      <w:bookmarkStart w:id="166" w:name="_Toc24979"/>
      <w:r>
        <w:rPr>
          <w:rFonts w:hint="eastAsia"/>
          <w:color w:val="auto"/>
          <w:u w:val="none"/>
          <w:lang w:eastAsia="zh-CN"/>
        </w:rPr>
        <w:t>新增学位总数</w:t>
      </w:r>
      <w:r>
        <w:rPr>
          <w:rFonts w:hint="eastAsia"/>
          <w:color w:val="auto"/>
          <w:sz w:val="30"/>
          <w:szCs w:val="30"/>
          <w:u w:val="none"/>
          <w:lang w:eastAsia="zh-CN"/>
        </w:rPr>
        <w:t>预测</w:t>
      </w:r>
      <w:bookmarkEnd w:id="153"/>
      <w:bookmarkEnd w:id="154"/>
      <w:bookmarkEnd w:id="155"/>
      <w:bookmarkEnd w:id="156"/>
      <w:r>
        <w:rPr>
          <w:rFonts w:hint="eastAsia"/>
          <w:color w:val="auto"/>
          <w:sz w:val="30"/>
          <w:szCs w:val="30"/>
          <w:u w:val="none"/>
          <w:lang w:eastAsia="zh-CN"/>
        </w:rPr>
        <w:t>结论</w:t>
      </w:r>
      <w:bookmarkEnd w:id="157"/>
      <w:bookmarkEnd w:id="158"/>
      <w:bookmarkEnd w:id="159"/>
      <w:bookmarkEnd w:id="160"/>
      <w:bookmarkEnd w:id="161"/>
    </w:p>
    <w:p>
      <w:pPr>
        <w:bidi w:val="0"/>
        <w:rPr>
          <w:rFonts w:hint="eastAsia"/>
          <w:b w:val="0"/>
          <w:bCs w:val="0"/>
          <w:color w:val="auto"/>
          <w:u w:val="none"/>
          <w:lang w:eastAsia="zh-CN"/>
        </w:rPr>
      </w:pPr>
      <w:r>
        <w:rPr>
          <w:rFonts w:hint="eastAsia"/>
          <w:b w:val="0"/>
          <w:bCs w:val="0"/>
          <w:color w:val="auto"/>
          <w:u w:val="none"/>
          <w:lang w:eastAsia="zh-CN"/>
        </w:rPr>
        <w:t>预测规划期末（</w:t>
      </w:r>
      <w:r>
        <w:rPr>
          <w:rFonts w:hint="eastAsia"/>
          <w:b w:val="0"/>
          <w:bCs w:val="0"/>
          <w:color w:val="auto"/>
          <w:u w:val="none"/>
          <w:lang w:val="en-US" w:eastAsia="zh-CN"/>
        </w:rPr>
        <w:t>2035年）</w:t>
      </w:r>
      <w:r>
        <w:rPr>
          <w:rFonts w:hint="eastAsia"/>
          <w:b w:val="0"/>
          <w:bCs w:val="0"/>
          <w:color w:val="auto"/>
          <w:u w:val="none"/>
          <w:lang w:eastAsia="zh-CN"/>
        </w:rPr>
        <w:t>，新增学位总数=规划期末新增学位数+现状欠缺学位数 =</w:t>
      </w:r>
      <w:r>
        <w:rPr>
          <w:rFonts w:hint="eastAsia"/>
          <w:b w:val="0"/>
          <w:bCs w:val="0"/>
          <w:color w:val="auto"/>
          <w:u w:val="none"/>
          <w:lang w:val="en-US" w:eastAsia="zh-CN"/>
        </w:rPr>
        <w:t>5.52</w:t>
      </w:r>
      <w:r>
        <w:rPr>
          <w:rFonts w:hint="eastAsia"/>
          <w:b w:val="0"/>
          <w:bCs w:val="0"/>
          <w:color w:val="auto"/>
          <w:u w:val="none"/>
          <w:lang w:eastAsia="zh-CN"/>
        </w:rPr>
        <w:t>万个。</w:t>
      </w:r>
    </w:p>
    <w:p>
      <w:pPr>
        <w:bidi w:val="0"/>
        <w:rPr>
          <w:rFonts w:hint="eastAsia"/>
          <w:b w:val="0"/>
          <w:bCs w:val="0"/>
          <w:color w:val="auto"/>
          <w:u w:val="none"/>
        </w:rPr>
      </w:pPr>
      <w:r>
        <w:rPr>
          <w:rFonts w:hint="eastAsia"/>
          <w:b w:val="0"/>
          <w:bCs w:val="0"/>
          <w:color w:val="auto"/>
          <w:u w:val="none"/>
          <w:lang w:eastAsia="zh-CN"/>
        </w:rPr>
        <w:t>其中新增小学学位数不低于</w:t>
      </w:r>
      <w:r>
        <w:rPr>
          <w:rFonts w:hint="eastAsia"/>
          <w:b w:val="0"/>
          <w:bCs w:val="0"/>
          <w:color w:val="auto"/>
          <w:u w:val="none"/>
          <w:lang w:val="en-US" w:eastAsia="zh-CN"/>
        </w:rPr>
        <w:t>2.64</w:t>
      </w:r>
      <w:r>
        <w:rPr>
          <w:rFonts w:hint="eastAsia"/>
          <w:b w:val="0"/>
          <w:bCs w:val="0"/>
          <w:color w:val="auto"/>
          <w:u w:val="none"/>
          <w:lang w:eastAsia="zh-CN"/>
        </w:rPr>
        <w:t>万个，新增初中学位数不低于</w:t>
      </w:r>
      <w:r>
        <w:rPr>
          <w:rFonts w:hint="eastAsia"/>
          <w:b w:val="0"/>
          <w:bCs w:val="0"/>
          <w:color w:val="auto"/>
          <w:u w:val="none"/>
          <w:lang w:val="en-US" w:eastAsia="zh-CN"/>
        </w:rPr>
        <w:t>1.30</w:t>
      </w:r>
      <w:r>
        <w:rPr>
          <w:rFonts w:hint="eastAsia"/>
          <w:b w:val="0"/>
          <w:bCs w:val="0"/>
          <w:color w:val="auto"/>
          <w:u w:val="none"/>
          <w:lang w:eastAsia="zh-CN"/>
        </w:rPr>
        <w:t>万个，新增高中学位数不低于</w:t>
      </w:r>
      <w:r>
        <w:rPr>
          <w:rFonts w:hint="eastAsia"/>
          <w:b w:val="0"/>
          <w:bCs w:val="0"/>
          <w:color w:val="auto"/>
          <w:u w:val="none"/>
          <w:lang w:val="en-US" w:eastAsia="zh-CN"/>
        </w:rPr>
        <w:t>0.87</w:t>
      </w:r>
      <w:r>
        <w:rPr>
          <w:rFonts w:hint="eastAsia"/>
          <w:b w:val="0"/>
          <w:bCs w:val="0"/>
          <w:color w:val="auto"/>
          <w:u w:val="none"/>
          <w:lang w:eastAsia="zh-CN"/>
        </w:rPr>
        <w:t>万个，新增幼儿园学位数不低于</w:t>
      </w:r>
      <w:r>
        <w:rPr>
          <w:rFonts w:hint="eastAsia"/>
          <w:b w:val="0"/>
          <w:bCs w:val="0"/>
          <w:color w:val="auto"/>
          <w:u w:val="none"/>
          <w:lang w:val="en-US" w:eastAsia="zh-CN"/>
        </w:rPr>
        <w:t>0.71</w:t>
      </w:r>
      <w:r>
        <w:rPr>
          <w:rFonts w:hint="eastAsia"/>
          <w:b w:val="0"/>
          <w:bCs w:val="0"/>
          <w:color w:val="auto"/>
          <w:u w:val="none"/>
          <w:lang w:eastAsia="zh-CN"/>
        </w:rPr>
        <w:t>万个</w:t>
      </w:r>
      <w:r>
        <w:rPr>
          <w:rFonts w:hint="eastAsia"/>
          <w:b w:val="0"/>
          <w:bCs w:val="0"/>
          <w:color w:val="auto"/>
          <w:u w:val="none"/>
        </w:rPr>
        <w:t>。</w:t>
      </w:r>
    </w:p>
    <w:p>
      <w:pPr>
        <w:pStyle w:val="3"/>
        <w:bidi w:val="0"/>
        <w:outlineLvl w:val="0"/>
        <w:rPr>
          <w:color w:val="auto"/>
          <w:u w:val="none"/>
        </w:rPr>
      </w:pPr>
      <w:bookmarkStart w:id="167" w:name="_Toc16270"/>
      <w:bookmarkStart w:id="168" w:name="_Toc19811"/>
      <w:bookmarkStart w:id="169" w:name="_Toc2000362"/>
      <w:bookmarkStart w:id="170" w:name="_Toc5212"/>
      <w:bookmarkStart w:id="171" w:name="_Toc536211578"/>
      <w:bookmarkStart w:id="172" w:name="_Toc2351"/>
      <w:bookmarkStart w:id="173" w:name="_Toc1921940"/>
      <w:bookmarkStart w:id="174" w:name="_Toc18730"/>
      <w:bookmarkStart w:id="175" w:name="_Toc14975"/>
      <w:bookmarkStart w:id="176" w:name="_Toc15131"/>
      <w:bookmarkStart w:id="177" w:name="_Toc18712"/>
      <w:bookmarkStart w:id="178" w:name="_Toc24943"/>
      <w:bookmarkStart w:id="179" w:name="_Toc25501"/>
      <w:r>
        <w:rPr>
          <w:rFonts w:hint="eastAsia"/>
          <w:color w:val="auto"/>
          <w:u w:val="none"/>
        </w:rPr>
        <w:t>新增班额数预测</w:t>
      </w:r>
      <w:bookmarkEnd w:id="167"/>
      <w:bookmarkEnd w:id="168"/>
      <w:bookmarkEnd w:id="169"/>
      <w:bookmarkEnd w:id="170"/>
      <w:bookmarkEnd w:id="171"/>
      <w:bookmarkEnd w:id="172"/>
      <w:bookmarkEnd w:id="173"/>
      <w:bookmarkEnd w:id="174"/>
      <w:r>
        <w:rPr>
          <w:rFonts w:hint="eastAsia"/>
          <w:color w:val="auto"/>
          <w:u w:val="none"/>
          <w:lang w:eastAsia="zh-CN"/>
        </w:rPr>
        <w:t>结论</w:t>
      </w:r>
      <w:bookmarkEnd w:id="175"/>
      <w:bookmarkEnd w:id="176"/>
      <w:bookmarkEnd w:id="177"/>
      <w:bookmarkEnd w:id="178"/>
      <w:bookmarkEnd w:id="179"/>
    </w:p>
    <w:p>
      <w:pPr>
        <w:bidi w:val="0"/>
        <w:rPr>
          <w:rFonts w:hint="eastAsia"/>
          <w:b w:val="0"/>
          <w:bCs w:val="0"/>
          <w:color w:val="auto"/>
          <w:u w:val="none"/>
          <w:lang w:val="en-US" w:eastAsia="zh-CN"/>
        </w:rPr>
      </w:pPr>
      <w:r>
        <w:rPr>
          <w:rFonts w:hint="eastAsia"/>
          <w:b w:val="0"/>
          <w:bCs w:val="0"/>
          <w:color w:val="auto"/>
          <w:u w:val="none"/>
          <w:lang w:val="en-US" w:eastAsia="zh-CN"/>
        </w:rPr>
        <w:t>规划期末小学新增班额数不小于587个班，初中新增班额数不小于260个班，高中新增班额数不小于159个班，幼儿园新增班额数不小于237个班。</w:t>
      </w:r>
    </w:p>
    <w:bookmarkEnd w:id="162"/>
    <w:bookmarkEnd w:id="163"/>
    <w:bookmarkEnd w:id="164"/>
    <w:bookmarkEnd w:id="165"/>
    <w:bookmarkEnd w:id="166"/>
    <w:p>
      <w:pPr>
        <w:pStyle w:val="2"/>
        <w:keepNext w:val="0"/>
        <w:keepLines w:val="0"/>
        <w:pageBreakBefore w:val="0"/>
        <w:widowControl w:val="0"/>
        <w:kinsoku/>
        <w:wordWrap/>
        <w:overflowPunct/>
        <w:topLinePunct w:val="0"/>
        <w:autoSpaceDE/>
        <w:autoSpaceDN/>
        <w:bidi w:val="0"/>
        <w:adjustRightInd/>
        <w:snapToGrid/>
        <w:ind w:left="0" w:firstLine="0"/>
        <w:textAlignment w:val="auto"/>
        <w:rPr>
          <w:color w:val="auto"/>
          <w:u w:val="none"/>
        </w:rPr>
      </w:pPr>
      <w:bookmarkStart w:id="180" w:name="_Toc28788"/>
      <w:bookmarkStart w:id="181" w:name="_Toc28407"/>
      <w:bookmarkStart w:id="182" w:name="_Toc10670"/>
      <w:bookmarkStart w:id="183" w:name="_Toc23061"/>
      <w:bookmarkStart w:id="184" w:name="_Toc26774"/>
      <w:bookmarkStart w:id="185" w:name="_Toc17569"/>
      <w:bookmarkStart w:id="186" w:name="_Toc8391"/>
      <w:bookmarkStart w:id="187" w:name="_Toc7348"/>
      <w:bookmarkStart w:id="188" w:name="_Toc19549"/>
      <w:r>
        <w:rPr>
          <w:rFonts w:hint="eastAsia"/>
          <w:color w:val="auto"/>
          <w:u w:val="none"/>
        </w:rPr>
        <w:t>规划布局</w:t>
      </w:r>
      <w:bookmarkEnd w:id="180"/>
      <w:bookmarkEnd w:id="181"/>
      <w:bookmarkEnd w:id="182"/>
      <w:bookmarkEnd w:id="183"/>
      <w:bookmarkEnd w:id="184"/>
      <w:bookmarkEnd w:id="185"/>
      <w:bookmarkEnd w:id="186"/>
      <w:bookmarkEnd w:id="187"/>
      <w:bookmarkEnd w:id="188"/>
    </w:p>
    <w:p>
      <w:pPr>
        <w:pStyle w:val="3"/>
        <w:bidi w:val="0"/>
        <w:outlineLvl w:val="0"/>
        <w:rPr>
          <w:color w:val="auto"/>
          <w:u w:val="none"/>
        </w:rPr>
      </w:pPr>
      <w:bookmarkStart w:id="189" w:name="_Toc31906"/>
      <w:bookmarkStart w:id="190" w:name="_Toc15013"/>
      <w:bookmarkStart w:id="191" w:name="_Toc20283"/>
      <w:bookmarkStart w:id="192" w:name="_Toc984"/>
      <w:bookmarkStart w:id="193" w:name="_Toc19823"/>
      <w:bookmarkStart w:id="194" w:name="_Toc10950"/>
      <w:bookmarkStart w:id="195" w:name="_Toc23850"/>
      <w:bookmarkStart w:id="196" w:name="_Toc11129"/>
      <w:bookmarkStart w:id="197" w:name="_Toc5063"/>
      <w:r>
        <w:rPr>
          <w:rFonts w:hint="eastAsia"/>
          <w:color w:val="auto"/>
          <w:u w:val="none"/>
        </w:rPr>
        <w:t>总体规划</w:t>
      </w:r>
      <w:bookmarkEnd w:id="189"/>
      <w:bookmarkEnd w:id="190"/>
      <w:bookmarkEnd w:id="191"/>
      <w:bookmarkEnd w:id="192"/>
      <w:bookmarkEnd w:id="193"/>
      <w:bookmarkEnd w:id="194"/>
      <w:bookmarkEnd w:id="195"/>
      <w:bookmarkEnd w:id="196"/>
      <w:bookmarkEnd w:id="197"/>
    </w:p>
    <w:p>
      <w:pPr>
        <w:pStyle w:val="4"/>
        <w:keepNext/>
        <w:keepLines/>
        <w:pageBreakBefore w:val="0"/>
        <w:widowControl w:val="0"/>
        <w:numPr>
          <w:ilvl w:val="0"/>
          <w:numId w:val="8"/>
        </w:numPr>
        <w:kinsoku/>
        <w:wordWrap/>
        <w:overflowPunct/>
        <w:topLinePunct w:val="0"/>
        <w:autoSpaceDE/>
        <w:autoSpaceDN/>
        <w:bidi w:val="0"/>
        <w:adjustRightInd/>
        <w:snapToGrid/>
        <w:ind w:left="901" w:hanging="420"/>
        <w:textAlignment w:val="auto"/>
        <w:rPr>
          <w:color w:val="auto"/>
          <w:u w:val="none"/>
        </w:rPr>
      </w:pPr>
      <w:r>
        <w:rPr>
          <w:rFonts w:hint="eastAsia"/>
          <w:color w:val="auto"/>
          <w:u w:val="none"/>
        </w:rPr>
        <w:t>中小学校</w:t>
      </w:r>
      <w:r>
        <w:rPr>
          <w:rFonts w:hint="eastAsia"/>
          <w:color w:val="auto"/>
          <w:u w:val="none"/>
          <w:lang w:eastAsia="zh-CN"/>
        </w:rPr>
        <w:t>幼儿园学位规划原则</w:t>
      </w:r>
    </w:p>
    <w:p>
      <w:pPr>
        <w:bidi w:val="0"/>
        <w:rPr>
          <w:rFonts w:hint="eastAsia"/>
          <w:b w:val="0"/>
          <w:bCs w:val="0"/>
          <w:color w:val="auto"/>
          <w:u w:val="none"/>
        </w:rPr>
      </w:pPr>
      <w:r>
        <w:rPr>
          <w:rFonts w:hint="eastAsia"/>
          <w:b w:val="0"/>
          <w:bCs w:val="0"/>
          <w:color w:val="auto"/>
          <w:u w:val="none"/>
        </w:rPr>
        <w:t>本次规划</w:t>
      </w:r>
      <w:r>
        <w:rPr>
          <w:rFonts w:hint="eastAsia"/>
          <w:b w:val="0"/>
          <w:bCs w:val="0"/>
          <w:color w:val="auto"/>
          <w:u w:val="none"/>
          <w:lang w:eastAsia="zh-CN"/>
        </w:rPr>
        <w:t>中小学校幼儿园新增学位数和班额</w:t>
      </w:r>
      <w:r>
        <w:rPr>
          <w:rFonts w:hint="eastAsia"/>
          <w:b w:val="0"/>
          <w:bCs w:val="0"/>
          <w:color w:val="auto"/>
          <w:u w:val="none"/>
        </w:rPr>
        <w:t>指标</w:t>
      </w:r>
      <w:r>
        <w:rPr>
          <w:rFonts w:hint="eastAsia"/>
          <w:b w:val="0"/>
          <w:bCs w:val="0"/>
          <w:color w:val="auto"/>
          <w:u w:val="none"/>
          <w:lang w:eastAsia="zh-CN"/>
        </w:rPr>
        <w:t>应</w:t>
      </w:r>
      <w:r>
        <w:rPr>
          <w:rFonts w:hint="eastAsia"/>
          <w:b w:val="0"/>
          <w:bCs w:val="0"/>
          <w:color w:val="auto"/>
          <w:u w:val="none"/>
        </w:rPr>
        <w:t>不低于</w:t>
      </w:r>
      <w:r>
        <w:rPr>
          <w:rFonts w:hint="eastAsia"/>
          <w:b w:val="0"/>
          <w:bCs w:val="0"/>
          <w:color w:val="auto"/>
          <w:u w:val="none"/>
          <w:lang w:eastAsia="zh-CN"/>
        </w:rPr>
        <w:t>预测新增学位数和班额</w:t>
      </w:r>
      <w:r>
        <w:rPr>
          <w:rFonts w:hint="eastAsia"/>
          <w:b w:val="0"/>
          <w:bCs w:val="0"/>
          <w:color w:val="auto"/>
          <w:u w:val="none"/>
        </w:rPr>
        <w:t>指标。</w:t>
      </w:r>
    </w:p>
    <w:p>
      <w:pPr>
        <w:pStyle w:val="4"/>
        <w:bidi w:val="0"/>
        <w:rPr>
          <w:color w:val="auto"/>
          <w:u w:val="none"/>
        </w:rPr>
      </w:pPr>
      <w:r>
        <w:rPr>
          <w:rFonts w:hint="eastAsia"/>
          <w:color w:val="auto"/>
          <w:u w:val="none"/>
        </w:rPr>
        <w:t>中小学校</w:t>
      </w:r>
      <w:r>
        <w:rPr>
          <w:rFonts w:hint="eastAsia"/>
          <w:color w:val="auto"/>
          <w:u w:val="none"/>
          <w:lang w:eastAsia="zh-CN"/>
        </w:rPr>
        <w:t>幼儿园</w:t>
      </w:r>
      <w:r>
        <w:rPr>
          <w:rFonts w:hint="eastAsia"/>
          <w:color w:val="auto"/>
          <w:u w:val="none"/>
        </w:rPr>
        <w:t>总体规划</w:t>
      </w:r>
    </w:p>
    <w:p>
      <w:pPr>
        <w:bidi w:val="0"/>
        <w:rPr>
          <w:rFonts w:hint="eastAsia"/>
          <w:u w:val="none"/>
          <w:lang w:val="en-US" w:eastAsia="zh-CN"/>
        </w:rPr>
      </w:pPr>
      <w:r>
        <w:rPr>
          <w:rFonts w:hint="eastAsia"/>
          <w:u w:val="none"/>
        </w:rPr>
        <w:t>至规划</w:t>
      </w:r>
      <w:r>
        <w:rPr>
          <w:rFonts w:hint="eastAsia"/>
          <w:u w:val="none"/>
          <w:lang w:eastAsia="zh-CN"/>
        </w:rPr>
        <w:t>期末</w:t>
      </w:r>
      <w:r>
        <w:rPr>
          <w:rFonts w:hint="eastAsia"/>
          <w:u w:val="none"/>
        </w:rPr>
        <w:t>，</w:t>
      </w:r>
      <w:r>
        <w:rPr>
          <w:rFonts w:hint="eastAsia"/>
          <w:u w:val="none"/>
          <w:lang w:eastAsia="zh-CN"/>
        </w:rPr>
        <w:t>为满足常德市城区中小学校幼儿园学位需求，</w:t>
      </w:r>
      <w:r>
        <w:rPr>
          <w:rFonts w:hint="eastAsia"/>
          <w:u w:val="none"/>
        </w:rPr>
        <w:t>共规划</w:t>
      </w:r>
      <w:r>
        <w:rPr>
          <w:rFonts w:hint="eastAsia"/>
          <w:u w:val="none"/>
          <w:lang w:eastAsia="zh-CN"/>
        </w:rPr>
        <w:t>中小学校</w:t>
      </w:r>
      <w:r>
        <w:rPr>
          <w:rFonts w:hint="eastAsia"/>
          <w:u w:val="none"/>
          <w:lang w:val="en-US" w:eastAsia="zh-CN"/>
        </w:rPr>
        <w:t>108</w:t>
      </w:r>
      <w:r>
        <w:rPr>
          <w:rFonts w:hint="eastAsia"/>
          <w:u w:val="none"/>
        </w:rPr>
        <w:t>所</w:t>
      </w:r>
      <w:r>
        <w:rPr>
          <w:rFonts w:hint="eastAsia"/>
          <w:u w:val="none"/>
          <w:lang w:eastAsia="zh-CN"/>
        </w:rPr>
        <w:t>（武陵区</w:t>
      </w:r>
      <w:r>
        <w:rPr>
          <w:rFonts w:hint="eastAsia"/>
          <w:u w:val="none"/>
          <w:lang w:val="en-US" w:eastAsia="zh-CN"/>
        </w:rPr>
        <w:t>55所，鼎城区22所，经开区10所，高新区9所，柳叶湖旅游度假区12所</w:t>
      </w:r>
      <w:r>
        <w:rPr>
          <w:rFonts w:hint="eastAsia"/>
          <w:u w:val="none"/>
          <w:lang w:eastAsia="zh-CN"/>
        </w:rPr>
        <w:t>），其中</w:t>
      </w:r>
      <w:r>
        <w:rPr>
          <w:rFonts w:hint="eastAsia"/>
          <w:u w:val="none"/>
        </w:rPr>
        <w:t>保留</w:t>
      </w:r>
      <w:r>
        <w:rPr>
          <w:rFonts w:hint="eastAsia"/>
          <w:u w:val="none"/>
          <w:lang w:val="en-US" w:eastAsia="zh-CN"/>
        </w:rPr>
        <w:t>67</w:t>
      </w:r>
      <w:r>
        <w:rPr>
          <w:rFonts w:hint="eastAsia"/>
          <w:u w:val="none"/>
        </w:rPr>
        <w:t>所，</w:t>
      </w:r>
      <w:r>
        <w:rPr>
          <w:rFonts w:hint="eastAsia"/>
          <w:u w:val="none"/>
          <w:lang w:val="en-US" w:eastAsia="zh-CN"/>
        </w:rPr>
        <w:t>改（扩）建8所，在（待）建6所，新增（预留）27</w:t>
      </w:r>
      <w:r>
        <w:rPr>
          <w:rFonts w:hint="eastAsia"/>
          <w:u w:val="none"/>
        </w:rPr>
        <w:t>所</w:t>
      </w:r>
      <w:r>
        <w:rPr>
          <w:rFonts w:hint="eastAsia"/>
          <w:u w:val="none"/>
          <w:lang w:eastAsia="zh-CN"/>
        </w:rPr>
        <w:t>。共规划幼儿园</w:t>
      </w:r>
      <w:r>
        <w:rPr>
          <w:rFonts w:hint="eastAsia"/>
          <w:u w:val="none"/>
          <w:lang w:val="en-US" w:eastAsia="zh-CN"/>
        </w:rPr>
        <w:t>191所（武陵区89所，鼎城区49所，经开区20所，高新区8所，柳叶湖旅游度假区25所），其中现状保留165所，规划新增26所。</w:t>
      </w:r>
    </w:p>
    <w:p>
      <w:pPr>
        <w:pStyle w:val="4"/>
        <w:bidi w:val="0"/>
        <w:rPr>
          <w:rFonts w:hint="eastAsia"/>
          <w:color w:val="auto"/>
          <w:u w:val="none"/>
          <w:lang w:val="en-US" w:eastAsia="zh-CN"/>
        </w:rPr>
      </w:pPr>
      <w:r>
        <w:rPr>
          <w:rFonts w:hint="eastAsia"/>
          <w:color w:val="auto"/>
          <w:u w:val="none"/>
          <w:lang w:val="en-US" w:eastAsia="zh-CN"/>
        </w:rPr>
        <w:t>新增学位规划</w:t>
      </w:r>
    </w:p>
    <w:p>
      <w:pPr>
        <w:numPr>
          <w:ilvl w:val="0"/>
          <w:numId w:val="9"/>
        </w:numPr>
        <w:bidi w:val="0"/>
        <w:rPr>
          <w:rFonts w:hint="eastAsia"/>
          <w:b/>
          <w:bCs/>
          <w:color w:val="auto"/>
          <w:u w:val="none"/>
          <w:lang w:val="en-US" w:eastAsia="zh-CN"/>
        </w:rPr>
      </w:pPr>
      <w:r>
        <w:rPr>
          <w:rFonts w:hint="eastAsia"/>
          <w:b/>
          <w:bCs/>
          <w:color w:val="auto"/>
          <w:u w:val="none"/>
          <w:lang w:val="en-US" w:eastAsia="zh-CN"/>
        </w:rPr>
        <w:t>小学新增学位规划</w:t>
      </w:r>
    </w:p>
    <w:p>
      <w:pPr>
        <w:bidi w:val="0"/>
        <w:rPr>
          <w:rFonts w:hint="eastAsia"/>
          <w:b w:val="0"/>
          <w:bCs w:val="0"/>
          <w:color w:val="auto"/>
          <w:u w:val="none"/>
          <w:lang w:val="en-US" w:eastAsia="zh-CN"/>
        </w:rPr>
      </w:pPr>
      <w:r>
        <w:rPr>
          <w:rFonts w:hint="eastAsia"/>
          <w:b w:val="0"/>
          <w:bCs w:val="0"/>
          <w:color w:val="auto"/>
          <w:u w:val="none"/>
          <w:lang w:val="en-US" w:eastAsia="zh-CN"/>
        </w:rPr>
        <w:t>完全小学新增（预留）12所；九年一贯制学校小学部新增（预留）8所；十二年一贯制学校小学部新增（预留）1所。</w:t>
      </w:r>
    </w:p>
    <w:p>
      <w:pPr>
        <w:bidi w:val="0"/>
        <w:rPr>
          <w:rFonts w:hint="eastAsia"/>
          <w:b w:val="0"/>
          <w:bCs w:val="0"/>
          <w:color w:val="auto"/>
          <w:u w:val="none"/>
          <w:lang w:val="en-US" w:eastAsia="zh-CN"/>
        </w:rPr>
      </w:pPr>
      <w:r>
        <w:rPr>
          <w:rFonts w:hint="eastAsia"/>
          <w:b w:val="0"/>
          <w:bCs w:val="0"/>
          <w:color w:val="auto"/>
          <w:u w:val="none"/>
          <w:lang w:val="en-US" w:eastAsia="zh-CN"/>
        </w:rPr>
        <w:t>规划共新增小学学位总数为3.13万个，新增班额总数696个，大于预测的新增小学学位2.64万个，新增班额587个，满足指标要求。</w:t>
      </w:r>
    </w:p>
    <w:p>
      <w:pPr>
        <w:numPr>
          <w:ilvl w:val="0"/>
          <w:numId w:val="9"/>
        </w:numPr>
        <w:bidi w:val="0"/>
        <w:ind w:firstLine="482"/>
        <w:rPr>
          <w:rFonts w:hint="eastAsia"/>
          <w:b/>
          <w:bCs/>
          <w:color w:val="auto"/>
          <w:u w:val="none"/>
          <w:lang w:val="en-US" w:eastAsia="zh-CN"/>
        </w:rPr>
      </w:pPr>
      <w:r>
        <w:rPr>
          <w:rFonts w:hint="eastAsia"/>
          <w:b/>
          <w:bCs/>
          <w:color w:val="auto"/>
          <w:u w:val="none"/>
          <w:lang w:val="en-US" w:eastAsia="zh-CN"/>
        </w:rPr>
        <w:t>初中新增学位规划</w:t>
      </w:r>
    </w:p>
    <w:p>
      <w:pPr>
        <w:bidi w:val="0"/>
        <w:rPr>
          <w:rFonts w:hint="eastAsia"/>
          <w:b w:val="0"/>
          <w:bCs w:val="0"/>
          <w:color w:val="auto"/>
          <w:u w:val="none"/>
          <w:lang w:val="en-US" w:eastAsia="zh-CN"/>
        </w:rPr>
      </w:pPr>
      <w:r>
        <w:rPr>
          <w:rFonts w:hint="eastAsia"/>
          <w:b w:val="0"/>
          <w:bCs w:val="0"/>
          <w:color w:val="auto"/>
          <w:u w:val="none"/>
          <w:lang w:val="en-US" w:eastAsia="zh-CN"/>
        </w:rPr>
        <w:t>初级中学新增（预留）2所；九年一贯制学校初中部新增（预留）8所；完全中学初中部新增（预留）2所；十二年一贯制学校初中部新增（预留）1所。</w:t>
      </w:r>
    </w:p>
    <w:p>
      <w:pPr>
        <w:bidi w:val="0"/>
        <w:rPr>
          <w:rFonts w:hint="eastAsia"/>
          <w:b w:val="0"/>
          <w:bCs w:val="0"/>
          <w:color w:val="auto"/>
          <w:u w:val="none"/>
          <w:lang w:val="en-US" w:eastAsia="zh-CN"/>
        </w:rPr>
      </w:pPr>
      <w:r>
        <w:rPr>
          <w:rFonts w:hint="eastAsia"/>
          <w:b w:val="0"/>
          <w:bCs w:val="0"/>
          <w:color w:val="auto"/>
          <w:u w:val="none"/>
          <w:lang w:val="en-US" w:eastAsia="zh-CN"/>
        </w:rPr>
        <w:t>规划共新增初中学位总数为1.50万个，新增班额总数300个，大于预测的初中新增学位1.30万个，新增班额260个，满足指标要求。</w:t>
      </w:r>
    </w:p>
    <w:p>
      <w:pPr>
        <w:numPr>
          <w:ilvl w:val="0"/>
          <w:numId w:val="9"/>
        </w:numPr>
        <w:bidi w:val="0"/>
        <w:ind w:firstLine="482"/>
        <w:rPr>
          <w:rFonts w:hint="eastAsia"/>
          <w:b/>
          <w:bCs/>
          <w:color w:val="auto"/>
          <w:u w:val="none"/>
          <w:lang w:val="en-US" w:eastAsia="zh-CN"/>
        </w:rPr>
      </w:pPr>
      <w:r>
        <w:rPr>
          <w:rFonts w:hint="eastAsia"/>
          <w:b/>
          <w:bCs/>
          <w:color w:val="auto"/>
          <w:u w:val="none"/>
          <w:lang w:val="en-US" w:eastAsia="zh-CN"/>
        </w:rPr>
        <w:t>高中新增学位规划</w:t>
      </w:r>
    </w:p>
    <w:p>
      <w:pPr>
        <w:bidi w:val="0"/>
        <w:rPr>
          <w:rFonts w:hint="eastAsia"/>
          <w:b w:val="0"/>
          <w:bCs w:val="0"/>
          <w:color w:val="auto"/>
          <w:u w:val="none"/>
          <w:lang w:val="en-US" w:eastAsia="zh-CN"/>
        </w:rPr>
      </w:pPr>
      <w:r>
        <w:rPr>
          <w:rFonts w:hint="eastAsia"/>
          <w:b w:val="0"/>
          <w:bCs w:val="0"/>
          <w:color w:val="auto"/>
          <w:u w:val="none"/>
          <w:lang w:val="en-US" w:eastAsia="zh-CN"/>
        </w:rPr>
        <w:t>高级中学新增（预留）2所；完全中学高中部新增（预留）2所；十二年一贯制学校高中部新增（预留）1所。</w:t>
      </w:r>
    </w:p>
    <w:p>
      <w:pPr>
        <w:bidi w:val="0"/>
        <w:rPr>
          <w:rFonts w:hint="eastAsia"/>
          <w:b w:val="0"/>
          <w:bCs w:val="0"/>
          <w:color w:val="auto"/>
          <w:u w:val="none"/>
          <w:lang w:val="en-US" w:eastAsia="zh-CN"/>
        </w:rPr>
      </w:pPr>
      <w:r>
        <w:rPr>
          <w:rFonts w:hint="eastAsia"/>
          <w:b w:val="0"/>
          <w:bCs w:val="0"/>
          <w:color w:val="auto"/>
          <w:u w:val="none"/>
          <w:lang w:val="en-US" w:eastAsia="zh-CN"/>
        </w:rPr>
        <w:t>规划共新增高中学位总数为0.96万个，新增班额总数174个，大于预测的高中新增学位0..87万个，新增班额159个，满足指标要求。</w:t>
      </w:r>
    </w:p>
    <w:p>
      <w:pPr>
        <w:numPr>
          <w:ilvl w:val="0"/>
          <w:numId w:val="9"/>
        </w:numPr>
        <w:bidi w:val="0"/>
        <w:ind w:firstLine="482"/>
        <w:rPr>
          <w:rFonts w:hint="eastAsia"/>
          <w:b/>
          <w:bCs/>
          <w:color w:val="auto"/>
          <w:u w:val="none"/>
          <w:lang w:val="en-US" w:eastAsia="zh-CN"/>
        </w:rPr>
      </w:pPr>
      <w:r>
        <w:rPr>
          <w:rFonts w:hint="eastAsia"/>
          <w:b/>
          <w:bCs/>
          <w:color w:val="auto"/>
          <w:u w:val="none"/>
          <w:lang w:val="en-US" w:eastAsia="zh-CN"/>
        </w:rPr>
        <w:t>中等职业学校</w:t>
      </w:r>
    </w:p>
    <w:p>
      <w:pPr>
        <w:bidi w:val="0"/>
        <w:rPr>
          <w:rFonts w:hint="eastAsia"/>
          <w:b w:val="0"/>
          <w:bCs w:val="0"/>
          <w:color w:val="auto"/>
          <w:u w:val="none"/>
          <w:lang w:val="en-US" w:eastAsia="zh-CN"/>
        </w:rPr>
      </w:pPr>
      <w:r>
        <w:rPr>
          <w:rFonts w:hint="eastAsia"/>
          <w:b w:val="0"/>
          <w:bCs w:val="0"/>
          <w:color w:val="auto"/>
          <w:u w:val="none"/>
          <w:lang w:val="en-US" w:eastAsia="zh-CN"/>
        </w:rPr>
        <w:t>中等职业学校新增2所。</w:t>
      </w:r>
    </w:p>
    <w:p>
      <w:pPr>
        <w:bidi w:val="0"/>
        <w:rPr>
          <w:rFonts w:hint="eastAsia"/>
          <w:b w:val="0"/>
          <w:bCs w:val="0"/>
          <w:color w:val="auto"/>
          <w:u w:val="none"/>
          <w:lang w:val="en-US" w:eastAsia="zh-CN"/>
        </w:rPr>
      </w:pPr>
      <w:r>
        <w:rPr>
          <w:rFonts w:hint="eastAsia"/>
          <w:b w:val="0"/>
          <w:bCs w:val="0"/>
          <w:color w:val="auto"/>
          <w:u w:val="none"/>
          <w:lang w:val="en-US" w:eastAsia="zh-CN"/>
        </w:rPr>
        <w:t>新增（预留）的2所中等职业学校学位数为0.89万个。</w:t>
      </w:r>
    </w:p>
    <w:p>
      <w:pPr>
        <w:numPr>
          <w:ilvl w:val="0"/>
          <w:numId w:val="9"/>
        </w:numPr>
        <w:bidi w:val="0"/>
        <w:ind w:firstLine="482"/>
        <w:rPr>
          <w:rFonts w:hint="eastAsia"/>
          <w:b/>
          <w:bCs/>
          <w:color w:val="auto"/>
          <w:u w:val="none"/>
        </w:rPr>
      </w:pPr>
      <w:r>
        <w:rPr>
          <w:rFonts w:hint="eastAsia"/>
          <w:b/>
          <w:bCs/>
          <w:color w:val="auto"/>
          <w:u w:val="none"/>
          <w:lang w:val="en-US" w:eastAsia="zh-CN"/>
        </w:rPr>
        <w:t>幼儿园新增学位规划</w:t>
      </w:r>
    </w:p>
    <w:p>
      <w:pPr>
        <w:bidi w:val="0"/>
        <w:rPr>
          <w:rFonts w:hint="eastAsia"/>
          <w:b/>
          <w:bCs/>
          <w:color w:val="auto"/>
          <w:u w:val="none"/>
        </w:rPr>
      </w:pPr>
      <w:r>
        <w:rPr>
          <w:rFonts w:hint="eastAsia"/>
          <w:b w:val="0"/>
          <w:bCs w:val="0"/>
          <w:color w:val="auto"/>
          <w:u w:val="none"/>
          <w:lang w:eastAsia="zh-CN"/>
        </w:rPr>
        <w:t>为</w:t>
      </w:r>
      <w:r>
        <w:rPr>
          <w:rFonts w:hint="eastAsia"/>
          <w:b w:val="0"/>
          <w:bCs w:val="0"/>
          <w:color w:val="auto"/>
          <w:u w:val="none"/>
          <w:lang w:val="en-US" w:eastAsia="zh-CN"/>
        </w:rPr>
        <w:t>满足幼儿园新增学位和班额需求，本次规划</w:t>
      </w:r>
      <w:r>
        <w:rPr>
          <w:rFonts w:hint="eastAsia"/>
          <w:b w:val="0"/>
          <w:bCs w:val="0"/>
          <w:color w:val="auto"/>
          <w:u w:val="none"/>
        </w:rPr>
        <w:t>新</w:t>
      </w:r>
      <w:r>
        <w:rPr>
          <w:rFonts w:hint="eastAsia"/>
          <w:b w:val="0"/>
          <w:bCs w:val="0"/>
          <w:color w:val="auto"/>
          <w:u w:val="none"/>
          <w:lang w:eastAsia="zh-CN"/>
        </w:rPr>
        <w:t>增（</w:t>
      </w:r>
      <w:r>
        <w:rPr>
          <w:rFonts w:hint="eastAsia"/>
          <w:b w:val="0"/>
          <w:bCs w:val="0"/>
          <w:color w:val="auto"/>
          <w:u w:val="none"/>
          <w:lang w:val="en-US" w:eastAsia="zh-CN"/>
        </w:rPr>
        <w:t>预留</w:t>
      </w:r>
      <w:r>
        <w:rPr>
          <w:rFonts w:hint="eastAsia"/>
          <w:b w:val="0"/>
          <w:bCs w:val="0"/>
          <w:color w:val="auto"/>
          <w:u w:val="none"/>
          <w:lang w:eastAsia="zh-CN"/>
        </w:rPr>
        <w:t>）幼儿园</w:t>
      </w:r>
      <w:r>
        <w:rPr>
          <w:rFonts w:hint="eastAsia"/>
          <w:b w:val="0"/>
          <w:bCs w:val="0"/>
          <w:color w:val="auto"/>
          <w:u w:val="none"/>
          <w:lang w:val="en-US" w:eastAsia="zh-CN"/>
        </w:rPr>
        <w:t>26</w:t>
      </w:r>
      <w:r>
        <w:rPr>
          <w:rFonts w:hint="eastAsia"/>
          <w:b w:val="0"/>
          <w:bCs w:val="0"/>
          <w:color w:val="auto"/>
          <w:u w:val="none"/>
        </w:rPr>
        <w:t>所</w:t>
      </w:r>
      <w:r>
        <w:rPr>
          <w:rFonts w:hint="eastAsia"/>
          <w:b w:val="0"/>
          <w:bCs w:val="0"/>
          <w:color w:val="auto"/>
          <w:u w:val="none"/>
          <w:lang w:eastAsia="zh-CN"/>
        </w:rPr>
        <w:t>，</w:t>
      </w:r>
      <w:r>
        <w:rPr>
          <w:rFonts w:hint="eastAsia"/>
          <w:b w:val="0"/>
          <w:bCs w:val="0"/>
          <w:color w:val="auto"/>
          <w:u w:val="none"/>
          <w:lang w:val="en-US" w:eastAsia="zh-CN"/>
        </w:rPr>
        <w:t>新增幼儿园学位总数为1.15万个，新增班额总数为384个，大于预测的新增幼儿园学位0.71万个，新增班额总数237个，满足指标要求。</w:t>
      </w:r>
    </w:p>
    <w:p>
      <w:pPr>
        <w:pStyle w:val="3"/>
        <w:bidi w:val="0"/>
        <w:outlineLvl w:val="0"/>
        <w:rPr>
          <w:rFonts w:hint="eastAsia"/>
          <w:color w:val="auto"/>
          <w:u w:val="none"/>
        </w:rPr>
      </w:pPr>
      <w:bookmarkStart w:id="198" w:name="_Toc16294"/>
      <w:bookmarkStart w:id="199" w:name="_Toc15015"/>
      <w:bookmarkStart w:id="200" w:name="_Toc2097"/>
      <w:bookmarkStart w:id="201" w:name="_Toc2425"/>
      <w:bookmarkStart w:id="202" w:name="_Toc21256"/>
      <w:bookmarkStart w:id="203" w:name="_Toc11407"/>
      <w:bookmarkStart w:id="204" w:name="_Toc1448"/>
      <w:bookmarkStart w:id="205" w:name="_Toc30469"/>
      <w:bookmarkStart w:id="206" w:name="_Toc28238"/>
      <w:r>
        <w:rPr>
          <w:rFonts w:hint="eastAsia"/>
          <w:color w:val="auto"/>
          <w:u w:val="none"/>
          <w:lang w:eastAsia="zh-CN"/>
        </w:rPr>
        <w:t>新增学校规划</w:t>
      </w:r>
      <w:bookmarkEnd w:id="198"/>
      <w:bookmarkEnd w:id="199"/>
      <w:bookmarkEnd w:id="200"/>
      <w:bookmarkEnd w:id="201"/>
      <w:bookmarkEnd w:id="202"/>
      <w:bookmarkEnd w:id="203"/>
      <w:bookmarkEnd w:id="204"/>
      <w:bookmarkEnd w:id="205"/>
      <w:bookmarkEnd w:id="206"/>
    </w:p>
    <w:p>
      <w:pPr>
        <w:numPr>
          <w:ilvl w:val="0"/>
          <w:numId w:val="10"/>
        </w:numPr>
        <w:bidi w:val="0"/>
        <w:rPr>
          <w:rFonts w:hint="eastAsia"/>
          <w:b/>
          <w:bCs/>
          <w:color w:val="auto"/>
          <w:u w:val="none"/>
          <w:lang w:val="en-US" w:eastAsia="zh-CN"/>
        </w:rPr>
      </w:pPr>
      <w:r>
        <w:rPr>
          <w:rFonts w:hint="eastAsia"/>
          <w:b/>
          <w:bCs/>
          <w:color w:val="auto"/>
          <w:u w:val="none"/>
          <w:lang w:val="en-US" w:eastAsia="zh-CN"/>
        </w:rPr>
        <w:t>完全小学</w:t>
      </w:r>
    </w:p>
    <w:p>
      <w:pPr>
        <w:bidi w:val="0"/>
        <w:rPr>
          <w:rFonts w:hint="eastAsia"/>
          <w:color w:val="auto"/>
          <w:u w:val="none"/>
          <w:lang w:eastAsia="zh-CN"/>
        </w:rPr>
      </w:pPr>
      <w:r>
        <w:rPr>
          <w:rFonts w:hint="eastAsia"/>
          <w:color w:val="auto"/>
          <w:u w:val="none"/>
        </w:rPr>
        <w:t>至</w:t>
      </w:r>
      <w:r>
        <w:rPr>
          <w:rFonts w:hint="eastAsia"/>
          <w:color w:val="auto"/>
          <w:u w:val="none"/>
          <w:lang w:eastAsia="zh-CN"/>
        </w:rPr>
        <w:t>规划期末完全</w:t>
      </w:r>
      <w:r>
        <w:rPr>
          <w:rFonts w:hint="eastAsia"/>
          <w:color w:val="auto"/>
          <w:u w:val="none"/>
        </w:rPr>
        <w:t>小学</w:t>
      </w:r>
      <w:r>
        <w:rPr>
          <w:rFonts w:hint="eastAsia"/>
          <w:color w:val="auto"/>
          <w:u w:val="none"/>
          <w:lang w:eastAsia="zh-CN"/>
        </w:rPr>
        <w:t>共</w:t>
      </w:r>
      <w:r>
        <w:rPr>
          <w:rFonts w:hint="eastAsia"/>
          <w:color w:val="auto"/>
          <w:u w:val="none"/>
        </w:rPr>
        <w:t>规划布局</w:t>
      </w:r>
      <w:r>
        <w:rPr>
          <w:rFonts w:hint="eastAsia"/>
          <w:color w:val="auto"/>
          <w:u w:val="none"/>
          <w:lang w:val="en-US" w:eastAsia="zh-CN"/>
        </w:rPr>
        <w:t>61</w:t>
      </w:r>
      <w:r>
        <w:rPr>
          <w:rFonts w:hint="eastAsia"/>
          <w:color w:val="auto"/>
          <w:u w:val="none"/>
        </w:rPr>
        <w:t>所。其中规划</w:t>
      </w:r>
      <w:r>
        <w:rPr>
          <w:rFonts w:hint="eastAsia"/>
          <w:color w:val="auto"/>
          <w:u w:val="none"/>
          <w:lang w:eastAsia="zh-CN"/>
        </w:rPr>
        <w:t>新增完全</w:t>
      </w:r>
      <w:r>
        <w:rPr>
          <w:rFonts w:hint="eastAsia"/>
          <w:color w:val="auto"/>
          <w:u w:val="none"/>
        </w:rPr>
        <w:t>小学</w:t>
      </w:r>
      <w:r>
        <w:rPr>
          <w:rFonts w:hint="eastAsia"/>
          <w:color w:val="auto"/>
          <w:u w:val="none"/>
          <w:lang w:val="en-US" w:eastAsia="zh-CN"/>
        </w:rPr>
        <w:t>12</w:t>
      </w:r>
      <w:r>
        <w:rPr>
          <w:rFonts w:hint="eastAsia"/>
          <w:color w:val="auto"/>
          <w:u w:val="none"/>
        </w:rPr>
        <w:t>所。</w:t>
      </w:r>
      <w:r>
        <w:rPr>
          <w:rFonts w:hint="eastAsia"/>
          <w:color w:val="auto"/>
          <w:u w:val="none"/>
          <w:lang w:eastAsia="zh-CN"/>
        </w:rPr>
        <w:t>规划新增完全小学详见下表：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u w:val="none"/>
          <w:lang w:eastAsia="zh-CN"/>
        </w:rPr>
      </w:pPr>
      <w:r>
        <w:rPr>
          <w:rFonts w:hint="eastAsia"/>
          <w:b/>
          <w:bCs/>
          <w:u w:val="none"/>
          <w:lang w:eastAsia="zh-CN"/>
        </w:rPr>
        <w:t>表一</w:t>
      </w:r>
      <w:r>
        <w:rPr>
          <w:rFonts w:hint="eastAsia"/>
          <w:b/>
          <w:bCs/>
          <w:u w:val="none"/>
          <w:lang w:val="en-US" w:eastAsia="zh-CN"/>
        </w:rPr>
        <w:t xml:space="preserve">   </w:t>
      </w:r>
      <w:r>
        <w:rPr>
          <w:rFonts w:hint="eastAsia"/>
          <w:b/>
          <w:bCs/>
          <w:u w:val="none"/>
          <w:lang w:eastAsia="zh-CN"/>
        </w:rPr>
        <w:t>规划新增完全小学一览表</w:t>
      </w:r>
    </w:p>
    <w:tbl>
      <w:tblPr>
        <w:tblStyle w:val="3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7"/>
        <w:gridCol w:w="853"/>
        <w:gridCol w:w="2609"/>
        <w:gridCol w:w="1034"/>
        <w:gridCol w:w="1020"/>
        <w:gridCol w:w="6811"/>
        <w:gridCol w:w="13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序号</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学校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类型</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学校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名称</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所属</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行政区</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学校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性质</w:t>
            </w:r>
          </w:p>
        </w:tc>
        <w:tc>
          <w:tcPr>
            <w:tcW w:w="2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所在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位置</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1</w:t>
            </w: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完全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小学</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X-01</w:t>
            </w:r>
          </w:p>
        </w:tc>
        <w:tc>
          <w:tcPr>
            <w:tcW w:w="3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武陵区</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珠港路与德智街交叉口东南角</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2</w:t>
            </w: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X-02</w:t>
            </w: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合兴路与朱湖路交叉口西南角</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3</w:t>
            </w: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X-03</w:t>
            </w: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桃花源路与竹叶路交叉口东北角</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4</w:t>
            </w: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X-04</w:t>
            </w: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柳叶大道与仙源路交叉口西南角</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5</w:t>
            </w: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X-05</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（白马湖小学）</w:t>
            </w: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高教路与白马街交叉口东南角</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近期建设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6</w:t>
            </w: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X-06</w:t>
            </w: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人民路与小高山街交叉口东北角</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7</w:t>
            </w: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X-07</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（武陵区第二小学）</w:t>
            </w: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红旗路与经阁路交叉口东北角</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8</w:t>
            </w: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X-08</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（丰彩小学）</w:t>
            </w:r>
          </w:p>
        </w:tc>
        <w:tc>
          <w:tcPr>
            <w:tcW w:w="3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鼎城区</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永安西路与德安路交叉口西北角</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近期建设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9</w:t>
            </w: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X-09</w:t>
            </w: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西站路与永吉路交叉口西北角</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10</w:t>
            </w: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X-10</w:t>
            </w:r>
            <w:r>
              <w:rPr>
                <w:rFonts w:hint="eastAsia"/>
                <w:u w:val="none"/>
                <w:lang w:val="en-US" w:eastAsia="zh-CN"/>
              </w:rPr>
              <w:br w:type="textWrapping"/>
            </w:r>
            <w:r>
              <w:rPr>
                <w:rFonts w:hint="eastAsia"/>
                <w:u w:val="none"/>
                <w:lang w:val="en-US" w:eastAsia="zh-CN"/>
              </w:rPr>
              <w:t>（桃花山小学与苏家渡小学合并）</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经开区</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窑东路、东沿路、熊家湾路、叶家堰路围合区域</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近期建设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11</w:t>
            </w: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X-11</w:t>
            </w:r>
          </w:p>
        </w:tc>
        <w:tc>
          <w:tcPr>
            <w:tcW w:w="3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高新区</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珠港路与富窑东路交叉口东南角</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12</w:t>
            </w: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X-12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（兴发小学选址新建）</w:t>
            </w: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筑基路与夕照路交叉口东南角</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bl>
    <w:p>
      <w:pPr>
        <w:numPr>
          <w:ilvl w:val="0"/>
          <w:numId w:val="10"/>
        </w:numPr>
        <w:bidi w:val="0"/>
        <w:rPr>
          <w:rFonts w:hint="eastAsia"/>
          <w:b/>
          <w:bCs/>
          <w:color w:val="auto"/>
          <w:u w:val="none"/>
          <w:lang w:val="en-US" w:eastAsia="zh-CN"/>
        </w:rPr>
      </w:pPr>
      <w:r>
        <w:rPr>
          <w:rFonts w:hint="eastAsia"/>
          <w:b/>
          <w:bCs/>
          <w:color w:val="auto"/>
          <w:u w:val="none"/>
          <w:lang w:val="en-US" w:eastAsia="zh-CN"/>
        </w:rPr>
        <w:t>初级中学</w:t>
      </w:r>
    </w:p>
    <w:p>
      <w:pPr>
        <w:bidi w:val="0"/>
        <w:rPr>
          <w:rFonts w:hint="eastAsia"/>
          <w:color w:val="auto"/>
          <w:u w:val="none"/>
          <w:lang w:eastAsia="zh-CN"/>
        </w:rPr>
      </w:pPr>
      <w:r>
        <w:rPr>
          <w:rFonts w:hint="eastAsia"/>
          <w:color w:val="auto"/>
          <w:u w:val="none"/>
        </w:rPr>
        <w:t>至</w:t>
      </w:r>
      <w:r>
        <w:rPr>
          <w:rFonts w:hint="eastAsia"/>
          <w:color w:val="auto"/>
          <w:u w:val="none"/>
          <w:lang w:eastAsia="zh-CN"/>
        </w:rPr>
        <w:t>规划期末初级中学共</w:t>
      </w:r>
      <w:r>
        <w:rPr>
          <w:rFonts w:hint="eastAsia"/>
          <w:color w:val="auto"/>
          <w:u w:val="none"/>
        </w:rPr>
        <w:t>规划布局</w:t>
      </w:r>
      <w:r>
        <w:rPr>
          <w:rFonts w:hint="eastAsia"/>
          <w:color w:val="auto"/>
          <w:u w:val="none"/>
          <w:lang w:val="en-US" w:eastAsia="zh-CN"/>
        </w:rPr>
        <w:t>15</w:t>
      </w:r>
      <w:r>
        <w:rPr>
          <w:rFonts w:hint="eastAsia"/>
          <w:color w:val="auto"/>
          <w:u w:val="none"/>
        </w:rPr>
        <w:t>所。其中规划</w:t>
      </w:r>
      <w:r>
        <w:rPr>
          <w:rFonts w:hint="eastAsia"/>
          <w:color w:val="auto"/>
          <w:u w:val="none"/>
          <w:lang w:eastAsia="zh-CN"/>
        </w:rPr>
        <w:t>新增初级中学</w:t>
      </w:r>
      <w:r>
        <w:rPr>
          <w:rFonts w:hint="eastAsia"/>
          <w:color w:val="auto"/>
          <w:u w:val="none"/>
          <w:lang w:val="en-US" w:eastAsia="zh-CN"/>
        </w:rPr>
        <w:t>2</w:t>
      </w:r>
      <w:r>
        <w:rPr>
          <w:rFonts w:hint="eastAsia"/>
          <w:color w:val="auto"/>
          <w:u w:val="none"/>
        </w:rPr>
        <w:t>所。</w:t>
      </w:r>
      <w:r>
        <w:rPr>
          <w:rFonts w:hint="eastAsia"/>
          <w:color w:val="auto"/>
          <w:u w:val="none"/>
          <w:lang w:eastAsia="zh-CN"/>
        </w:rPr>
        <w:t>规划新增初级中学详见下表：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u w:val="none"/>
          <w:lang w:eastAsia="zh-CN"/>
        </w:rPr>
      </w:pPr>
      <w:r>
        <w:rPr>
          <w:rFonts w:hint="eastAsia"/>
          <w:b/>
          <w:bCs/>
          <w:u w:val="none"/>
          <w:lang w:eastAsia="zh-CN"/>
        </w:rPr>
        <w:t>表二</w:t>
      </w:r>
      <w:r>
        <w:rPr>
          <w:rFonts w:hint="eastAsia"/>
          <w:b/>
          <w:bCs/>
          <w:u w:val="none"/>
          <w:lang w:val="en-US" w:eastAsia="zh-CN"/>
        </w:rPr>
        <w:t xml:space="preserve">   </w:t>
      </w:r>
      <w:r>
        <w:rPr>
          <w:rFonts w:hint="eastAsia"/>
          <w:b/>
          <w:bCs/>
          <w:u w:val="none"/>
          <w:lang w:eastAsia="zh-CN"/>
        </w:rPr>
        <w:t>规划新增初级中学一览表</w:t>
      </w:r>
    </w:p>
    <w:tbl>
      <w:tblPr>
        <w:tblStyle w:val="3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7"/>
        <w:gridCol w:w="836"/>
        <w:gridCol w:w="2622"/>
        <w:gridCol w:w="1012"/>
        <w:gridCol w:w="1037"/>
        <w:gridCol w:w="6808"/>
        <w:gridCol w:w="13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学校类型</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学校名称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所属行政区</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学校</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性质</w:t>
            </w:r>
          </w:p>
        </w:tc>
        <w:tc>
          <w:tcPr>
            <w:tcW w:w="2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所在位置</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初级中学</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C-01</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鼎城区</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2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善德路与永安东路交叉口西北角</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C-02</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高新区</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2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浦沅大道与何家溶路交叉口西北角</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规划新增</w:t>
            </w:r>
          </w:p>
        </w:tc>
      </w:tr>
    </w:tbl>
    <w:p>
      <w:pPr>
        <w:numPr>
          <w:ilvl w:val="0"/>
          <w:numId w:val="10"/>
        </w:numPr>
        <w:bidi w:val="0"/>
        <w:rPr>
          <w:rFonts w:hint="eastAsia"/>
          <w:b/>
          <w:bCs/>
          <w:color w:val="auto"/>
          <w:u w:val="none"/>
          <w:lang w:val="en-US" w:eastAsia="zh-CN"/>
        </w:rPr>
      </w:pPr>
      <w:r>
        <w:rPr>
          <w:rFonts w:hint="eastAsia"/>
          <w:b/>
          <w:bCs/>
          <w:color w:val="auto"/>
          <w:u w:val="none"/>
          <w:lang w:val="en-US" w:eastAsia="zh-CN"/>
        </w:rPr>
        <w:t>高级中学</w:t>
      </w:r>
    </w:p>
    <w:p>
      <w:pPr>
        <w:bidi w:val="0"/>
        <w:rPr>
          <w:rFonts w:hint="eastAsia"/>
          <w:color w:val="auto"/>
          <w:u w:val="none"/>
          <w:lang w:val="en-US" w:eastAsia="zh-CN"/>
        </w:rPr>
      </w:pPr>
      <w:r>
        <w:rPr>
          <w:rFonts w:hint="eastAsia"/>
          <w:color w:val="auto"/>
          <w:u w:val="none"/>
        </w:rPr>
        <w:t>至</w:t>
      </w:r>
      <w:r>
        <w:rPr>
          <w:rFonts w:hint="eastAsia"/>
          <w:color w:val="auto"/>
          <w:u w:val="none"/>
          <w:lang w:eastAsia="zh-CN"/>
        </w:rPr>
        <w:t>规划期末高级中学</w:t>
      </w:r>
      <w:r>
        <w:rPr>
          <w:rFonts w:hint="eastAsia"/>
          <w:color w:val="auto"/>
          <w:u w:val="none"/>
        </w:rPr>
        <w:t>共规划</w:t>
      </w:r>
      <w:r>
        <w:rPr>
          <w:rFonts w:hint="eastAsia"/>
          <w:color w:val="auto"/>
          <w:u w:val="none"/>
          <w:lang w:eastAsia="zh-CN"/>
        </w:rPr>
        <w:t>布局</w:t>
      </w:r>
      <w:r>
        <w:rPr>
          <w:rFonts w:hint="eastAsia"/>
          <w:color w:val="auto"/>
          <w:u w:val="none"/>
          <w:lang w:val="en-US" w:eastAsia="zh-CN"/>
        </w:rPr>
        <w:t>7</w:t>
      </w:r>
      <w:r>
        <w:rPr>
          <w:rFonts w:hint="eastAsia"/>
          <w:color w:val="auto"/>
          <w:u w:val="none"/>
        </w:rPr>
        <w:t>所</w:t>
      </w:r>
      <w:r>
        <w:rPr>
          <w:rFonts w:hint="eastAsia"/>
          <w:color w:val="auto"/>
          <w:u w:val="none"/>
          <w:lang w:eastAsia="zh-CN"/>
        </w:rPr>
        <w:t>。其中规划新增高级中学</w:t>
      </w:r>
      <w:r>
        <w:rPr>
          <w:rFonts w:hint="eastAsia"/>
          <w:color w:val="auto"/>
          <w:u w:val="none"/>
          <w:lang w:val="en-US" w:eastAsia="zh-CN"/>
        </w:rPr>
        <w:t>2所。规划新增高级中学详见下表：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u w:val="none"/>
          <w:lang w:eastAsia="zh-CN"/>
        </w:rPr>
      </w:pPr>
      <w:r>
        <w:rPr>
          <w:rFonts w:hint="eastAsia"/>
          <w:b/>
          <w:bCs/>
          <w:u w:val="none"/>
          <w:lang w:eastAsia="zh-CN"/>
        </w:rPr>
        <w:t>表三</w:t>
      </w:r>
      <w:r>
        <w:rPr>
          <w:rFonts w:hint="eastAsia"/>
          <w:b/>
          <w:bCs/>
          <w:u w:val="none"/>
          <w:lang w:val="en-US" w:eastAsia="zh-CN"/>
        </w:rPr>
        <w:t xml:space="preserve">   </w:t>
      </w:r>
      <w:r>
        <w:rPr>
          <w:rFonts w:hint="eastAsia"/>
          <w:b/>
          <w:bCs/>
          <w:u w:val="none"/>
          <w:lang w:eastAsia="zh-CN"/>
        </w:rPr>
        <w:t>规划新增高级中学一览表</w:t>
      </w:r>
    </w:p>
    <w:tbl>
      <w:tblPr>
        <w:tblStyle w:val="36"/>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0"/>
        <w:gridCol w:w="828"/>
        <w:gridCol w:w="2630"/>
        <w:gridCol w:w="1012"/>
        <w:gridCol w:w="1046"/>
        <w:gridCol w:w="6811"/>
        <w:gridCol w:w="13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序号</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学校类型</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学校名称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所属行政区</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学校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性质</w:t>
            </w:r>
          </w:p>
        </w:tc>
        <w:tc>
          <w:tcPr>
            <w:tcW w:w="2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所在位置</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1</w:t>
            </w:r>
          </w:p>
        </w:tc>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高级中学</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G-01</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高新区</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金丹路与富窑东路交叉口西南角</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2</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G-02（北辰学校）</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柳叶湖</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月亮大道、双桥路、高丰路、年寿路围合区域</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bl>
    <w:p>
      <w:pPr>
        <w:numPr>
          <w:ilvl w:val="0"/>
          <w:numId w:val="10"/>
        </w:numPr>
        <w:bidi w:val="0"/>
        <w:rPr>
          <w:rFonts w:hint="eastAsia"/>
          <w:b/>
          <w:bCs/>
          <w:color w:val="auto"/>
          <w:u w:val="none"/>
          <w:lang w:val="en-US" w:eastAsia="zh-CN"/>
        </w:rPr>
      </w:pPr>
      <w:r>
        <w:rPr>
          <w:rFonts w:hint="eastAsia"/>
          <w:b/>
          <w:bCs/>
          <w:color w:val="auto"/>
          <w:u w:val="none"/>
          <w:lang w:val="en-US" w:eastAsia="zh-CN"/>
        </w:rPr>
        <w:t>九年一贯制学校</w:t>
      </w:r>
    </w:p>
    <w:p>
      <w:pPr>
        <w:bidi w:val="0"/>
        <w:spacing w:line="420" w:lineRule="exact"/>
        <w:rPr>
          <w:rFonts w:hint="eastAsia"/>
          <w:color w:val="auto"/>
          <w:u w:val="none"/>
          <w:lang w:val="en-US" w:eastAsia="zh-CN"/>
        </w:rPr>
      </w:pPr>
      <w:r>
        <w:rPr>
          <w:rFonts w:hint="eastAsia"/>
          <w:color w:val="auto"/>
          <w:u w:val="none"/>
        </w:rPr>
        <w:t>至</w:t>
      </w:r>
      <w:r>
        <w:rPr>
          <w:rFonts w:hint="eastAsia"/>
          <w:color w:val="auto"/>
          <w:u w:val="none"/>
          <w:lang w:eastAsia="zh-CN"/>
        </w:rPr>
        <w:t>规划期末九年一贯制学校</w:t>
      </w:r>
      <w:r>
        <w:rPr>
          <w:rFonts w:hint="eastAsia"/>
          <w:color w:val="auto"/>
          <w:u w:val="none"/>
        </w:rPr>
        <w:t>共规划</w:t>
      </w:r>
      <w:r>
        <w:rPr>
          <w:rFonts w:hint="eastAsia"/>
          <w:color w:val="auto"/>
          <w:u w:val="none"/>
          <w:lang w:eastAsia="zh-CN"/>
        </w:rPr>
        <w:t>布局</w:t>
      </w:r>
      <w:r>
        <w:rPr>
          <w:rFonts w:hint="eastAsia"/>
          <w:color w:val="auto"/>
          <w:u w:val="none"/>
          <w:lang w:val="en-US" w:eastAsia="zh-CN"/>
        </w:rPr>
        <w:t>14</w:t>
      </w:r>
      <w:r>
        <w:rPr>
          <w:rFonts w:hint="eastAsia"/>
          <w:color w:val="auto"/>
          <w:u w:val="none"/>
        </w:rPr>
        <w:t>所</w:t>
      </w:r>
      <w:r>
        <w:rPr>
          <w:rFonts w:hint="eastAsia"/>
          <w:color w:val="auto"/>
          <w:u w:val="none"/>
          <w:lang w:val="en-US" w:eastAsia="zh-CN"/>
        </w:rPr>
        <w:t>。</w:t>
      </w:r>
      <w:r>
        <w:rPr>
          <w:rFonts w:hint="eastAsia"/>
          <w:color w:val="auto"/>
          <w:u w:val="none"/>
        </w:rPr>
        <w:t>其中</w:t>
      </w:r>
      <w:r>
        <w:rPr>
          <w:rFonts w:hint="eastAsia"/>
          <w:color w:val="auto"/>
          <w:u w:val="none"/>
          <w:lang w:eastAsia="zh-CN"/>
        </w:rPr>
        <w:t>规划新增九年一贯制学校</w:t>
      </w:r>
      <w:r>
        <w:rPr>
          <w:rFonts w:hint="eastAsia"/>
          <w:color w:val="auto"/>
          <w:u w:val="none"/>
          <w:lang w:val="en-US" w:eastAsia="zh-CN"/>
        </w:rPr>
        <w:t>8所。规划新增九年一贯制学校详见下表：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u w:val="none"/>
          <w:lang w:eastAsia="zh-CN"/>
        </w:rPr>
      </w:pPr>
      <w:r>
        <w:rPr>
          <w:rFonts w:hint="eastAsia"/>
          <w:b/>
          <w:bCs/>
          <w:u w:val="none"/>
          <w:lang w:eastAsia="zh-CN"/>
        </w:rPr>
        <w:t>表四</w:t>
      </w:r>
      <w:r>
        <w:rPr>
          <w:rFonts w:hint="eastAsia"/>
          <w:b/>
          <w:bCs/>
          <w:u w:val="none"/>
          <w:lang w:val="en-US" w:eastAsia="zh-CN"/>
        </w:rPr>
        <w:t xml:space="preserve">   </w:t>
      </w:r>
      <w:r>
        <w:rPr>
          <w:rFonts w:hint="eastAsia"/>
          <w:b/>
          <w:bCs/>
          <w:u w:val="none"/>
          <w:lang w:eastAsia="zh-CN"/>
        </w:rPr>
        <w:t>规划新增九年一贯制学校一览表</w:t>
      </w:r>
    </w:p>
    <w:tbl>
      <w:tblPr>
        <w:tblStyle w:val="36"/>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1"/>
        <w:gridCol w:w="839"/>
        <w:gridCol w:w="2619"/>
        <w:gridCol w:w="1020"/>
        <w:gridCol w:w="1046"/>
        <w:gridCol w:w="6800"/>
        <w:gridCol w:w="13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序号</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学校类型</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学校名称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所属行政区</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学校性质</w:t>
            </w:r>
          </w:p>
        </w:tc>
        <w:tc>
          <w:tcPr>
            <w:tcW w:w="2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所在位置</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1</w:t>
            </w:r>
          </w:p>
        </w:tc>
        <w:tc>
          <w:tcPr>
            <w:tcW w:w="2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九年一贯制</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XC-01</w:t>
            </w:r>
          </w:p>
        </w:tc>
        <w:tc>
          <w:tcPr>
            <w:tcW w:w="36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武陵区</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滨湖路、合兴路、赤城路、未然路围合区域</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2</w:t>
            </w:r>
          </w:p>
        </w:tc>
        <w:tc>
          <w:tcPr>
            <w:tcW w:w="2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XC-02</w:t>
            </w:r>
          </w:p>
        </w:tc>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茶湖路与朝阳路交叉口西南侧</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3</w:t>
            </w:r>
          </w:p>
        </w:tc>
        <w:tc>
          <w:tcPr>
            <w:tcW w:w="2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XC-03</w:t>
            </w:r>
          </w:p>
        </w:tc>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青年路与浮关路交叉口东北角</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4</w:t>
            </w:r>
          </w:p>
        </w:tc>
        <w:tc>
          <w:tcPr>
            <w:tcW w:w="2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XC-08</w:t>
            </w:r>
          </w:p>
        </w:tc>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井天路、长顺路、青林路、合兴路围合区域</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5</w:t>
            </w:r>
          </w:p>
        </w:tc>
        <w:tc>
          <w:tcPr>
            <w:tcW w:w="2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XC-04</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高新区</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珠港路与昌平路交叉口东侧</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近期建设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6</w:t>
            </w:r>
          </w:p>
        </w:tc>
        <w:tc>
          <w:tcPr>
            <w:tcW w:w="2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XC-05</w:t>
            </w:r>
          </w:p>
        </w:tc>
        <w:tc>
          <w:tcPr>
            <w:tcW w:w="36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柳叶湖</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万寿路与北定北路交叉口西北侧</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7</w:t>
            </w:r>
          </w:p>
        </w:tc>
        <w:tc>
          <w:tcPr>
            <w:tcW w:w="2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XC-06</w:t>
            </w:r>
          </w:p>
        </w:tc>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柳泉北路与泉水路交叉口西南侧</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jc w:val="center"/>
        </w:trPr>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8</w:t>
            </w:r>
          </w:p>
        </w:tc>
        <w:tc>
          <w:tcPr>
            <w:tcW w:w="2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XC-07</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（白鹤镇中学新址）</w:t>
            </w:r>
          </w:p>
        </w:tc>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白鹤路与古田路交叉口西北角</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bl>
    <w:p>
      <w:pPr>
        <w:numPr>
          <w:ilvl w:val="0"/>
          <w:numId w:val="10"/>
        </w:numPr>
        <w:bidi w:val="0"/>
        <w:rPr>
          <w:rFonts w:hint="eastAsia"/>
          <w:b/>
          <w:bCs/>
          <w:color w:val="auto"/>
          <w:u w:val="none"/>
          <w:lang w:val="en-US" w:eastAsia="zh-CN"/>
        </w:rPr>
      </w:pPr>
      <w:r>
        <w:rPr>
          <w:rFonts w:hint="eastAsia"/>
          <w:b/>
          <w:bCs/>
          <w:color w:val="auto"/>
          <w:u w:val="none"/>
          <w:lang w:val="en-US" w:eastAsia="zh-CN"/>
        </w:rPr>
        <w:t>完全中学</w:t>
      </w:r>
    </w:p>
    <w:p>
      <w:pPr>
        <w:bidi w:val="0"/>
        <w:spacing w:line="420" w:lineRule="exact"/>
        <w:rPr>
          <w:rFonts w:hint="eastAsia"/>
          <w:color w:val="auto"/>
          <w:u w:val="none"/>
          <w:lang w:val="en-US" w:eastAsia="zh-CN"/>
        </w:rPr>
      </w:pPr>
      <w:r>
        <w:rPr>
          <w:rFonts w:hint="eastAsia"/>
          <w:color w:val="auto"/>
          <w:u w:val="none"/>
        </w:rPr>
        <w:t>至</w:t>
      </w:r>
      <w:r>
        <w:rPr>
          <w:rFonts w:hint="eastAsia"/>
          <w:color w:val="auto"/>
          <w:u w:val="none"/>
          <w:lang w:eastAsia="zh-CN"/>
        </w:rPr>
        <w:t>规划期末完全中学</w:t>
      </w:r>
      <w:r>
        <w:rPr>
          <w:rFonts w:hint="eastAsia"/>
          <w:color w:val="auto"/>
          <w:u w:val="none"/>
        </w:rPr>
        <w:t>共规划</w:t>
      </w:r>
      <w:r>
        <w:rPr>
          <w:rFonts w:hint="eastAsia"/>
          <w:color w:val="auto"/>
          <w:u w:val="none"/>
          <w:lang w:eastAsia="zh-CN"/>
        </w:rPr>
        <w:t>布局</w:t>
      </w:r>
      <w:r>
        <w:rPr>
          <w:rFonts w:hint="eastAsia"/>
          <w:color w:val="auto"/>
          <w:u w:val="none"/>
          <w:lang w:val="en-US" w:eastAsia="zh-CN"/>
        </w:rPr>
        <w:t>8</w:t>
      </w:r>
      <w:r>
        <w:rPr>
          <w:rFonts w:hint="eastAsia"/>
          <w:color w:val="auto"/>
          <w:u w:val="none"/>
        </w:rPr>
        <w:t>所</w:t>
      </w:r>
      <w:r>
        <w:rPr>
          <w:rFonts w:hint="eastAsia"/>
          <w:color w:val="auto"/>
          <w:u w:val="none"/>
          <w:lang w:val="en-US" w:eastAsia="zh-CN"/>
        </w:rPr>
        <w:t>。</w:t>
      </w:r>
      <w:r>
        <w:rPr>
          <w:rFonts w:hint="eastAsia"/>
          <w:color w:val="auto"/>
          <w:u w:val="none"/>
        </w:rPr>
        <w:t>其中</w:t>
      </w:r>
      <w:r>
        <w:rPr>
          <w:rFonts w:hint="eastAsia"/>
          <w:color w:val="auto"/>
          <w:u w:val="none"/>
          <w:lang w:eastAsia="zh-CN"/>
        </w:rPr>
        <w:t>规划新增完全中学</w:t>
      </w:r>
      <w:r>
        <w:rPr>
          <w:rFonts w:hint="eastAsia"/>
          <w:color w:val="auto"/>
          <w:u w:val="none"/>
          <w:lang w:val="en-US" w:eastAsia="zh-CN"/>
        </w:rPr>
        <w:t>2所。规划新增完全中学详见下表：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u w:val="none"/>
          <w:lang w:val="en-US" w:eastAsia="zh-CN"/>
        </w:rPr>
      </w:pPr>
      <w:r>
        <w:rPr>
          <w:rFonts w:hint="eastAsia"/>
          <w:b/>
          <w:bCs/>
          <w:u w:val="none"/>
          <w:lang w:eastAsia="zh-CN"/>
        </w:rPr>
        <w:t>表五</w:t>
      </w:r>
      <w:r>
        <w:rPr>
          <w:rFonts w:hint="eastAsia"/>
          <w:b/>
          <w:bCs/>
          <w:u w:val="none"/>
          <w:lang w:val="en-US" w:eastAsia="zh-CN"/>
        </w:rPr>
        <w:t xml:space="preserve">   </w:t>
      </w:r>
      <w:r>
        <w:rPr>
          <w:rFonts w:hint="eastAsia"/>
          <w:b/>
          <w:bCs/>
          <w:u w:val="none"/>
          <w:lang w:eastAsia="zh-CN"/>
        </w:rPr>
        <w:t>规划新增完全中学一览表</w:t>
      </w:r>
    </w:p>
    <w:tbl>
      <w:tblPr>
        <w:tblStyle w:val="36"/>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0"/>
        <w:gridCol w:w="850"/>
        <w:gridCol w:w="2608"/>
        <w:gridCol w:w="1032"/>
        <w:gridCol w:w="1046"/>
        <w:gridCol w:w="6787"/>
        <w:gridCol w:w="1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序号</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学校类型</w:t>
            </w:r>
          </w:p>
        </w:tc>
        <w:tc>
          <w:tcPr>
            <w:tcW w:w="9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学校名称</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所属行政区</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学校性质</w:t>
            </w:r>
          </w:p>
        </w:tc>
        <w:tc>
          <w:tcPr>
            <w:tcW w:w="2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所在位置</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1</w:t>
            </w:r>
          </w:p>
        </w:tc>
        <w:tc>
          <w:tcPr>
            <w:tcW w:w="3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完全中学</w:t>
            </w:r>
          </w:p>
        </w:tc>
        <w:tc>
          <w:tcPr>
            <w:tcW w:w="9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CG-01</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武陵区</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窑港路与创智街交叉口西南角</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2</w:t>
            </w:r>
          </w:p>
        </w:tc>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9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CG-02</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鼎城区</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祥云路与建新路交叉口东南角</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bl>
    <w:p>
      <w:pPr>
        <w:numPr>
          <w:ilvl w:val="0"/>
          <w:numId w:val="10"/>
        </w:numPr>
        <w:bidi w:val="0"/>
        <w:rPr>
          <w:rFonts w:hint="eastAsia"/>
          <w:b/>
          <w:bCs/>
          <w:color w:val="auto"/>
          <w:u w:val="none"/>
          <w:lang w:val="en-US" w:eastAsia="zh-CN"/>
        </w:rPr>
      </w:pPr>
      <w:r>
        <w:rPr>
          <w:rFonts w:hint="eastAsia"/>
          <w:b/>
          <w:bCs/>
          <w:color w:val="auto"/>
          <w:u w:val="none"/>
          <w:lang w:val="en-US" w:eastAsia="zh-CN"/>
        </w:rPr>
        <w:t>十二年一贯制学校</w:t>
      </w:r>
    </w:p>
    <w:p>
      <w:pPr>
        <w:bidi w:val="0"/>
        <w:spacing w:line="420" w:lineRule="exact"/>
        <w:rPr>
          <w:rFonts w:hint="eastAsia"/>
          <w:color w:val="auto"/>
          <w:u w:val="none"/>
          <w:lang w:val="en-US" w:eastAsia="zh-CN"/>
        </w:rPr>
      </w:pPr>
      <w:r>
        <w:rPr>
          <w:rFonts w:hint="eastAsia"/>
          <w:color w:val="auto"/>
          <w:u w:val="none"/>
        </w:rPr>
        <w:t>至</w:t>
      </w:r>
      <w:r>
        <w:rPr>
          <w:rFonts w:hint="eastAsia"/>
          <w:color w:val="auto"/>
          <w:u w:val="none"/>
          <w:lang w:eastAsia="zh-CN"/>
        </w:rPr>
        <w:t>规划期末十二年一贯制学校</w:t>
      </w:r>
      <w:r>
        <w:rPr>
          <w:rFonts w:hint="eastAsia"/>
          <w:color w:val="auto"/>
          <w:u w:val="none"/>
        </w:rPr>
        <w:t>共规划</w:t>
      </w:r>
      <w:r>
        <w:rPr>
          <w:rFonts w:hint="eastAsia"/>
          <w:color w:val="auto"/>
          <w:u w:val="none"/>
          <w:lang w:eastAsia="zh-CN"/>
        </w:rPr>
        <w:t>布局</w:t>
      </w:r>
      <w:r>
        <w:rPr>
          <w:rFonts w:hint="eastAsia"/>
          <w:color w:val="auto"/>
          <w:u w:val="none"/>
          <w:lang w:val="en-US" w:eastAsia="zh-CN"/>
        </w:rPr>
        <w:t>3</w:t>
      </w:r>
      <w:r>
        <w:rPr>
          <w:rFonts w:hint="eastAsia"/>
          <w:color w:val="auto"/>
          <w:u w:val="none"/>
        </w:rPr>
        <w:t>所</w:t>
      </w:r>
      <w:r>
        <w:rPr>
          <w:rFonts w:hint="eastAsia"/>
          <w:color w:val="auto"/>
          <w:u w:val="none"/>
          <w:lang w:val="en-US" w:eastAsia="zh-CN"/>
        </w:rPr>
        <w:t>。</w:t>
      </w:r>
      <w:r>
        <w:rPr>
          <w:rFonts w:hint="eastAsia"/>
          <w:color w:val="auto"/>
          <w:u w:val="none"/>
        </w:rPr>
        <w:t>其中</w:t>
      </w:r>
      <w:r>
        <w:rPr>
          <w:rFonts w:hint="eastAsia"/>
          <w:color w:val="auto"/>
          <w:u w:val="none"/>
          <w:lang w:eastAsia="zh-CN"/>
        </w:rPr>
        <w:t>规划新增十二年一贯制学校</w:t>
      </w:r>
      <w:r>
        <w:rPr>
          <w:rFonts w:hint="eastAsia"/>
          <w:color w:val="auto"/>
          <w:u w:val="none"/>
          <w:lang w:val="en-US" w:eastAsia="zh-CN"/>
        </w:rPr>
        <w:t>1所。规划新增</w:t>
      </w:r>
      <w:r>
        <w:rPr>
          <w:rFonts w:hint="eastAsia"/>
          <w:color w:val="auto"/>
          <w:u w:val="none"/>
          <w:lang w:eastAsia="zh-CN"/>
        </w:rPr>
        <w:t>十二年一贯制学校</w:t>
      </w:r>
      <w:r>
        <w:rPr>
          <w:rFonts w:hint="eastAsia"/>
          <w:color w:val="auto"/>
          <w:u w:val="none"/>
          <w:lang w:val="en-US" w:eastAsia="zh-CN"/>
        </w:rPr>
        <w:t>详见下表：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u w:val="none"/>
          <w:lang w:val="en-US" w:eastAsia="zh-CN"/>
        </w:rPr>
      </w:pPr>
      <w:r>
        <w:rPr>
          <w:rFonts w:hint="eastAsia"/>
          <w:b/>
          <w:bCs/>
          <w:u w:val="none"/>
          <w:lang w:val="en-US" w:eastAsia="zh-CN"/>
        </w:rPr>
        <w:t xml:space="preserve">   表六   </w:t>
      </w:r>
      <w:r>
        <w:rPr>
          <w:rFonts w:hint="eastAsia"/>
          <w:b/>
          <w:bCs/>
          <w:u w:val="none"/>
          <w:lang w:eastAsia="zh-CN"/>
        </w:rPr>
        <w:t>规划新增十二年一贯制学校一览表</w:t>
      </w:r>
    </w:p>
    <w:tbl>
      <w:tblPr>
        <w:tblStyle w:val="36"/>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9"/>
        <w:gridCol w:w="836"/>
        <w:gridCol w:w="2618"/>
        <w:gridCol w:w="1023"/>
        <w:gridCol w:w="1043"/>
        <w:gridCol w:w="6795"/>
        <w:gridCol w:w="13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序号</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学校类型</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学校名称</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所属行政区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学校性质</w:t>
            </w:r>
          </w:p>
        </w:tc>
        <w:tc>
          <w:tcPr>
            <w:tcW w:w="2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所在位置</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1</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十二年一贯制</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XCG-01</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鼎城区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兴业路、善卷路、江南大道、永兴路围合区域</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bl>
    <w:p>
      <w:pPr>
        <w:numPr>
          <w:ilvl w:val="0"/>
          <w:numId w:val="10"/>
        </w:numPr>
        <w:bidi w:val="0"/>
        <w:rPr>
          <w:rFonts w:hint="eastAsia"/>
          <w:b/>
          <w:bCs/>
          <w:color w:val="auto"/>
          <w:u w:val="none"/>
          <w:lang w:val="en-US" w:eastAsia="zh-CN"/>
        </w:rPr>
      </w:pPr>
      <w:r>
        <w:rPr>
          <w:rFonts w:hint="eastAsia"/>
          <w:b/>
          <w:bCs/>
          <w:color w:val="auto"/>
          <w:u w:val="none"/>
          <w:lang w:val="en-US" w:eastAsia="zh-CN"/>
        </w:rPr>
        <w:t>中等职业学校</w:t>
      </w:r>
    </w:p>
    <w:p>
      <w:pPr>
        <w:bidi w:val="0"/>
        <w:rPr>
          <w:rFonts w:hint="default"/>
          <w:u w:val="none"/>
          <w:lang w:val="en-US" w:eastAsia="zh-CN"/>
        </w:rPr>
      </w:pPr>
      <w:r>
        <w:rPr>
          <w:rFonts w:hint="eastAsia"/>
          <w:u w:val="none"/>
          <w:lang w:val="en-US" w:eastAsia="zh-CN"/>
        </w:rPr>
        <w:t>至规划期末规划新增2所公办中等职业学校。规划新增中等职业学校详见下表：</w:t>
      </w:r>
    </w:p>
    <w:p>
      <w:pPr>
        <w:bidi w:val="0"/>
        <w:jc w:val="center"/>
        <w:rPr>
          <w:rFonts w:hint="eastAsia"/>
          <w:b/>
          <w:bCs/>
          <w:u w:val="none"/>
          <w:lang w:eastAsia="zh-CN"/>
        </w:rPr>
      </w:pPr>
      <w:r>
        <w:rPr>
          <w:rFonts w:hint="eastAsia"/>
          <w:b/>
          <w:bCs/>
          <w:u w:val="none"/>
          <w:lang w:val="en-US" w:eastAsia="zh-CN"/>
        </w:rPr>
        <w:t xml:space="preserve">表七   </w:t>
      </w:r>
      <w:r>
        <w:rPr>
          <w:rFonts w:hint="eastAsia"/>
          <w:b/>
          <w:bCs/>
          <w:u w:val="none"/>
          <w:lang w:eastAsia="zh-CN"/>
        </w:rPr>
        <w:t>规划新增中等职业学校一览表</w:t>
      </w:r>
    </w:p>
    <w:tbl>
      <w:tblPr>
        <w:tblStyle w:val="36"/>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9"/>
        <w:gridCol w:w="836"/>
        <w:gridCol w:w="2618"/>
        <w:gridCol w:w="1023"/>
        <w:gridCol w:w="1043"/>
        <w:gridCol w:w="6795"/>
        <w:gridCol w:w="13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序号</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学校类型</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学校名称</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所属行政区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学校性质</w:t>
            </w:r>
          </w:p>
        </w:tc>
        <w:tc>
          <w:tcPr>
            <w:tcW w:w="2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所在位置</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1</w:t>
            </w:r>
          </w:p>
        </w:tc>
        <w:tc>
          <w:tcPr>
            <w:tcW w:w="295"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中等职业学校</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u w:val="none"/>
                <w:lang w:val="en-US"/>
              </w:rPr>
            </w:pPr>
            <w:r>
              <w:rPr>
                <w:rFonts w:hint="eastAsia"/>
                <w:u w:val="none"/>
                <w:lang w:val="en-US" w:eastAsia="zh-CN"/>
              </w:rPr>
              <w:t>ZZ-01</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武陵区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2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窑港路、珠港路、沅安路、雅智路围合区域</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规划新增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u w:val="none"/>
                <w:lang w:val="en-US" w:eastAsia="zh-CN"/>
              </w:rPr>
            </w:pPr>
            <w:r>
              <w:rPr>
                <w:rFonts w:hint="eastAsia"/>
                <w:u w:val="none"/>
                <w:lang w:val="en-US" w:eastAsia="zh-CN"/>
              </w:rPr>
              <w:t>2</w:t>
            </w:r>
          </w:p>
        </w:tc>
        <w:tc>
          <w:tcPr>
            <w:tcW w:w="295"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u w:val="none"/>
                <w:lang w:val="en-US" w:eastAsia="zh-CN"/>
              </w:rPr>
            </w:pPr>
            <w:r>
              <w:rPr>
                <w:rFonts w:hint="eastAsia"/>
                <w:u w:val="none"/>
                <w:lang w:val="en-US" w:eastAsia="zh-CN"/>
              </w:rPr>
              <w:t>ZZ-02</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u w:val="none"/>
                <w:lang w:val="en-US" w:eastAsia="zh-CN"/>
              </w:rPr>
            </w:pPr>
            <w:r>
              <w:rPr>
                <w:rFonts w:hint="eastAsia"/>
                <w:u w:val="none"/>
                <w:lang w:val="en-US" w:eastAsia="zh-CN"/>
              </w:rPr>
              <w:t>高新区</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公办</w:t>
            </w:r>
          </w:p>
        </w:tc>
        <w:tc>
          <w:tcPr>
            <w:tcW w:w="2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飞龙中路、浦沅大道、何家溶路、新渐河围合区域</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规划新增</w:t>
            </w:r>
          </w:p>
        </w:tc>
      </w:tr>
    </w:tbl>
    <w:p>
      <w:pPr>
        <w:numPr>
          <w:ilvl w:val="0"/>
          <w:numId w:val="10"/>
        </w:numPr>
        <w:bidi w:val="0"/>
        <w:rPr>
          <w:rFonts w:hint="eastAsia"/>
          <w:b/>
          <w:bCs/>
          <w:color w:val="auto"/>
          <w:u w:val="none"/>
          <w:lang w:val="en-US" w:eastAsia="zh-CN"/>
        </w:rPr>
      </w:pPr>
      <w:r>
        <w:rPr>
          <w:rFonts w:hint="eastAsia"/>
          <w:b/>
          <w:bCs/>
          <w:color w:val="auto"/>
          <w:u w:val="none"/>
          <w:lang w:val="en-US" w:eastAsia="zh-CN"/>
        </w:rPr>
        <w:t>幼儿园</w:t>
      </w:r>
    </w:p>
    <w:p>
      <w:pPr>
        <w:bidi w:val="0"/>
        <w:spacing w:line="420" w:lineRule="exact"/>
        <w:rPr>
          <w:rFonts w:hint="eastAsia"/>
          <w:color w:val="auto"/>
          <w:u w:val="none"/>
          <w:lang w:val="en-US" w:eastAsia="zh-CN"/>
        </w:rPr>
      </w:pPr>
      <w:r>
        <w:rPr>
          <w:rFonts w:hint="eastAsia"/>
          <w:color w:val="auto"/>
          <w:u w:val="none"/>
        </w:rPr>
        <w:t>至</w:t>
      </w:r>
      <w:r>
        <w:rPr>
          <w:rFonts w:hint="eastAsia"/>
          <w:color w:val="auto"/>
          <w:u w:val="none"/>
          <w:lang w:eastAsia="zh-CN"/>
        </w:rPr>
        <w:t>规划期末幼儿园</w:t>
      </w:r>
      <w:r>
        <w:rPr>
          <w:rFonts w:hint="eastAsia"/>
          <w:color w:val="auto"/>
          <w:u w:val="none"/>
        </w:rPr>
        <w:t>共规划</w:t>
      </w:r>
      <w:r>
        <w:rPr>
          <w:rFonts w:hint="eastAsia"/>
          <w:color w:val="auto"/>
          <w:u w:val="none"/>
          <w:lang w:eastAsia="zh-CN"/>
        </w:rPr>
        <w:t>布局</w:t>
      </w:r>
      <w:r>
        <w:rPr>
          <w:rFonts w:hint="eastAsia"/>
          <w:color w:val="auto"/>
          <w:u w:val="none"/>
          <w:lang w:val="en-US" w:eastAsia="zh-CN"/>
        </w:rPr>
        <w:t>191</w:t>
      </w:r>
      <w:r>
        <w:rPr>
          <w:rFonts w:hint="eastAsia"/>
          <w:color w:val="auto"/>
          <w:u w:val="none"/>
        </w:rPr>
        <w:t>所</w:t>
      </w:r>
      <w:r>
        <w:rPr>
          <w:rFonts w:hint="eastAsia"/>
          <w:color w:val="auto"/>
          <w:u w:val="none"/>
          <w:lang w:val="en-US" w:eastAsia="zh-CN"/>
        </w:rPr>
        <w:t>。</w:t>
      </w:r>
      <w:r>
        <w:rPr>
          <w:rFonts w:hint="eastAsia"/>
          <w:color w:val="auto"/>
          <w:u w:val="none"/>
        </w:rPr>
        <w:t>其中</w:t>
      </w:r>
      <w:r>
        <w:rPr>
          <w:rFonts w:hint="eastAsia"/>
          <w:color w:val="auto"/>
          <w:u w:val="none"/>
          <w:lang w:eastAsia="zh-CN"/>
        </w:rPr>
        <w:t>规划新增幼儿园</w:t>
      </w:r>
      <w:r>
        <w:rPr>
          <w:rFonts w:hint="eastAsia"/>
          <w:color w:val="auto"/>
          <w:u w:val="none"/>
          <w:lang w:val="en-US" w:eastAsia="zh-CN"/>
        </w:rPr>
        <w:t>26所。规划新增</w:t>
      </w:r>
      <w:r>
        <w:rPr>
          <w:rFonts w:hint="eastAsia"/>
          <w:color w:val="auto"/>
          <w:u w:val="none"/>
          <w:lang w:eastAsia="zh-CN"/>
        </w:rPr>
        <w:t>幼儿园</w:t>
      </w:r>
      <w:r>
        <w:rPr>
          <w:rFonts w:hint="eastAsia"/>
          <w:color w:val="auto"/>
          <w:u w:val="none"/>
          <w:lang w:val="en-US" w:eastAsia="zh-CN"/>
        </w:rPr>
        <w:t>详见下表：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u w:val="none"/>
          <w:lang w:eastAsia="zh-CN"/>
        </w:rPr>
      </w:pPr>
      <w:r>
        <w:rPr>
          <w:rFonts w:hint="eastAsia"/>
          <w:b/>
          <w:bCs/>
          <w:u w:val="none"/>
          <w:lang w:eastAsia="zh-CN"/>
        </w:rPr>
        <w:t>表八</w:t>
      </w:r>
      <w:r>
        <w:rPr>
          <w:rFonts w:hint="eastAsia"/>
          <w:b/>
          <w:bCs/>
          <w:u w:val="none"/>
          <w:lang w:val="en-US" w:eastAsia="zh-CN"/>
        </w:rPr>
        <w:t xml:space="preserve">   </w:t>
      </w:r>
      <w:r>
        <w:rPr>
          <w:rFonts w:hint="eastAsia"/>
          <w:b/>
          <w:bCs/>
          <w:u w:val="none"/>
          <w:lang w:eastAsia="zh-CN"/>
        </w:rPr>
        <w:t>规划新增幼儿园一览表</w:t>
      </w:r>
    </w:p>
    <w:tbl>
      <w:tblPr>
        <w:tblStyle w:val="3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37"/>
        <w:gridCol w:w="2604"/>
        <w:gridCol w:w="1046"/>
        <w:gridCol w:w="5455"/>
        <w:gridCol w:w="2375"/>
        <w:gridCol w:w="13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性质</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所在位置</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所属</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城区</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规Y-01</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国湘路与朱湖路交汇处西南侧</w:t>
            </w:r>
          </w:p>
        </w:tc>
        <w:tc>
          <w:tcPr>
            <w:tcW w:w="8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武陵区</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规Y-02</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未然路与滨湖路交汇处西南侧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规Y-03</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桃花源路与井天路交汇处西北侧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规Y-04</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王家岗路与长顺路交汇处西南侧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规Y-05</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柳叶大道与南湖路交汇处东北侧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规Y-06</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高泗路与欣荣路交汇处西南侧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规Y-07</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东风路与三星路交汇处东南侧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近期建设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规Y-08</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朝阳路与茶湖路交汇处西南侧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规Y-09</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北定南路与茶湖路交汇处西南侧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规Y-10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稻香路与竹园路交汇处西南侧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规Y-11</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碑吉边路与常东路交汇处东南侧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规Y-12</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人青路与白龙路交汇处东南侧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规Y-13</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碑吉边路与盐关路交汇处西北侧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规Y-14</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祥云路与永丰路交汇处西北侧</w:t>
            </w:r>
          </w:p>
        </w:tc>
        <w:tc>
          <w:tcPr>
            <w:tcW w:w="8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鼎城区</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规Y-15</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红云路与永吉路交汇处西北侧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规Y-16</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报国路与永兴路交汇处西北侧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规Y-17</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望江西路与让王路交汇处东南侧</w:t>
            </w:r>
          </w:p>
        </w:tc>
        <w:tc>
          <w:tcPr>
            <w:tcW w:w="8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经开区</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规Y-18</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熊家湾路与东田碑路交汇处东北侧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近期建设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规Y-19</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同德路与长安路交汇处西北侧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规Y-20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玉皇东路与高屋路交汇处东南侧</w:t>
            </w:r>
          </w:p>
        </w:tc>
        <w:tc>
          <w:tcPr>
            <w:tcW w:w="8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高新区</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规Y-21</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沿河路与何家溶路交汇处东北侧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规Y-22</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昌平路与珠港路交汇处东北角</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规Y-23</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牟家岗路与岩子堰路交汇处东南侧</w:t>
            </w:r>
          </w:p>
        </w:tc>
        <w:tc>
          <w:tcPr>
            <w:tcW w:w="8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柳叶湖度假区</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近期建设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规Y-24</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高丰路与泉水路交汇处东南侧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近期建设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规Y-25</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芳园路与泉水路交汇处西南侧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规Y-26</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白鹤路与游园路交汇处东北侧</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规划新建</w:t>
            </w:r>
          </w:p>
        </w:tc>
      </w:tr>
    </w:tbl>
    <w:p>
      <w:pPr>
        <w:pStyle w:val="2"/>
        <w:keepNext w:val="0"/>
        <w:keepLines w:val="0"/>
        <w:pageBreakBefore w:val="0"/>
        <w:widowControl w:val="0"/>
        <w:kinsoku/>
        <w:wordWrap/>
        <w:overflowPunct/>
        <w:topLinePunct w:val="0"/>
        <w:autoSpaceDE/>
        <w:autoSpaceDN/>
        <w:bidi w:val="0"/>
        <w:adjustRightInd/>
        <w:snapToGrid/>
        <w:ind w:left="0" w:firstLine="0"/>
        <w:textAlignment w:val="auto"/>
        <w:rPr>
          <w:rFonts w:hint="eastAsia"/>
          <w:color w:val="auto"/>
          <w:u w:val="none"/>
          <w:lang w:val="en-US" w:eastAsia="zh-CN"/>
        </w:rPr>
      </w:pPr>
      <w:r>
        <w:rPr>
          <w:rFonts w:hint="eastAsia"/>
          <w:color w:val="auto"/>
          <w:u w:val="none"/>
          <w:lang w:val="en-US" w:eastAsia="zh-CN"/>
        </w:rPr>
        <w:t>近期建设规划</w:t>
      </w:r>
    </w:p>
    <w:p>
      <w:pPr>
        <w:pStyle w:val="3"/>
        <w:bidi w:val="0"/>
        <w:outlineLvl w:val="0"/>
        <w:rPr>
          <w:rFonts w:hint="eastAsia"/>
          <w:color w:val="auto"/>
          <w:u w:val="none"/>
          <w:lang w:val="en-US" w:eastAsia="zh-CN"/>
        </w:rPr>
      </w:pPr>
      <w:r>
        <w:rPr>
          <w:rFonts w:hint="eastAsia"/>
          <w:color w:val="auto"/>
          <w:u w:val="none"/>
          <w:lang w:val="en-US" w:eastAsia="zh-CN"/>
        </w:rPr>
        <w:t>近期建设年限</w:t>
      </w:r>
    </w:p>
    <w:p>
      <w:pPr>
        <w:bidi w:val="0"/>
        <w:rPr>
          <w:rFonts w:hint="eastAsia"/>
          <w:color w:val="auto"/>
          <w:u w:val="none"/>
          <w:lang w:eastAsia="zh-CN"/>
        </w:rPr>
      </w:pPr>
      <w:r>
        <w:rPr>
          <w:rFonts w:hint="eastAsia"/>
          <w:color w:val="auto"/>
          <w:u w:val="none"/>
          <w:lang w:eastAsia="zh-CN"/>
        </w:rPr>
        <w:t>近期建设年限为20</w:t>
      </w:r>
      <w:r>
        <w:rPr>
          <w:rFonts w:hint="eastAsia"/>
          <w:color w:val="auto"/>
          <w:u w:val="none"/>
          <w:lang w:val="en-US" w:eastAsia="zh-CN"/>
        </w:rPr>
        <w:t>22</w:t>
      </w:r>
      <w:r>
        <w:rPr>
          <w:rFonts w:hint="eastAsia"/>
          <w:color w:val="auto"/>
          <w:u w:val="none"/>
          <w:lang w:eastAsia="zh-CN"/>
        </w:rPr>
        <w:t>--20</w:t>
      </w:r>
      <w:r>
        <w:rPr>
          <w:rFonts w:hint="eastAsia"/>
          <w:color w:val="auto"/>
          <w:u w:val="none"/>
          <w:lang w:val="en-US" w:eastAsia="zh-CN"/>
        </w:rPr>
        <w:t>25</w:t>
      </w:r>
      <w:r>
        <w:rPr>
          <w:rFonts w:hint="eastAsia"/>
          <w:color w:val="auto"/>
          <w:u w:val="none"/>
          <w:lang w:eastAsia="zh-CN"/>
        </w:rPr>
        <w:t>年。</w:t>
      </w:r>
    </w:p>
    <w:p>
      <w:pPr>
        <w:pStyle w:val="3"/>
        <w:bidi w:val="0"/>
        <w:outlineLvl w:val="0"/>
        <w:rPr>
          <w:rFonts w:hint="eastAsia"/>
          <w:color w:val="auto"/>
          <w:u w:val="none"/>
          <w:lang w:val="en-US" w:eastAsia="zh-CN"/>
        </w:rPr>
      </w:pPr>
      <w:r>
        <w:rPr>
          <w:rFonts w:hint="eastAsia"/>
          <w:color w:val="auto"/>
          <w:u w:val="none"/>
          <w:lang w:val="en-US" w:eastAsia="zh-CN"/>
        </w:rPr>
        <w:t>近期建设内容</w:t>
      </w:r>
    </w:p>
    <w:p>
      <w:pPr>
        <w:bidi w:val="0"/>
        <w:rPr>
          <w:rFonts w:hint="eastAsia" w:eastAsia="宋体"/>
          <w:color w:val="auto"/>
          <w:u w:val="none"/>
          <w:lang w:eastAsia="zh-CN"/>
        </w:rPr>
      </w:pPr>
      <w:r>
        <w:rPr>
          <w:rFonts w:hint="eastAsia"/>
          <w:color w:val="auto"/>
          <w:u w:val="none"/>
        </w:rPr>
        <w:t>至</w:t>
      </w:r>
      <w:r>
        <w:rPr>
          <w:rFonts w:hint="eastAsia"/>
          <w:color w:val="auto"/>
          <w:u w:val="none"/>
          <w:lang w:val="en-US" w:eastAsia="zh-CN"/>
        </w:rPr>
        <w:t>近期建设目标年（2025年）</w:t>
      </w:r>
      <w:r>
        <w:rPr>
          <w:rFonts w:hint="eastAsia"/>
          <w:color w:val="auto"/>
          <w:u w:val="none"/>
        </w:rPr>
        <w:t>，共规划新</w:t>
      </w:r>
      <w:r>
        <w:rPr>
          <w:rFonts w:hint="eastAsia"/>
          <w:color w:val="auto"/>
          <w:u w:val="none"/>
          <w:lang w:eastAsia="zh-CN"/>
        </w:rPr>
        <w:t>增完全</w:t>
      </w:r>
      <w:r>
        <w:rPr>
          <w:rFonts w:hint="eastAsia"/>
          <w:color w:val="auto"/>
          <w:u w:val="none"/>
        </w:rPr>
        <w:t>小学</w:t>
      </w:r>
      <w:r>
        <w:rPr>
          <w:rFonts w:hint="eastAsia"/>
          <w:color w:val="auto"/>
          <w:u w:val="none"/>
          <w:lang w:val="en-US" w:eastAsia="zh-CN"/>
        </w:rPr>
        <w:t>3</w:t>
      </w:r>
      <w:r>
        <w:rPr>
          <w:rFonts w:hint="eastAsia"/>
          <w:color w:val="auto"/>
          <w:u w:val="none"/>
        </w:rPr>
        <w:t>所、</w:t>
      </w:r>
      <w:r>
        <w:rPr>
          <w:rFonts w:hint="eastAsia"/>
          <w:color w:val="auto"/>
          <w:u w:val="none"/>
          <w:lang w:val="en-US" w:eastAsia="zh-CN"/>
        </w:rPr>
        <w:t>九年一贯制学校1</w:t>
      </w:r>
      <w:r>
        <w:rPr>
          <w:rFonts w:hint="eastAsia"/>
          <w:color w:val="auto"/>
          <w:u w:val="none"/>
        </w:rPr>
        <w:t>所</w:t>
      </w:r>
      <w:r>
        <w:rPr>
          <w:rFonts w:hint="eastAsia"/>
          <w:color w:val="auto"/>
          <w:u w:val="none"/>
          <w:lang w:eastAsia="zh-CN"/>
        </w:rPr>
        <w:t>、</w:t>
      </w:r>
      <w:r>
        <w:rPr>
          <w:rFonts w:hint="eastAsia"/>
          <w:color w:val="auto"/>
          <w:u w:val="none"/>
        </w:rPr>
        <w:t>幼儿园</w:t>
      </w:r>
      <w:r>
        <w:rPr>
          <w:rFonts w:hint="eastAsia"/>
          <w:color w:val="auto"/>
          <w:u w:val="none"/>
          <w:lang w:val="en-US" w:eastAsia="zh-CN"/>
        </w:rPr>
        <w:t>4</w:t>
      </w:r>
      <w:r>
        <w:rPr>
          <w:rFonts w:hint="eastAsia"/>
          <w:color w:val="auto"/>
          <w:u w:val="none"/>
        </w:rPr>
        <w:t>所。</w:t>
      </w:r>
      <w:r>
        <w:rPr>
          <w:rFonts w:hint="eastAsia"/>
          <w:color w:val="auto"/>
          <w:u w:val="none"/>
          <w:lang w:eastAsia="zh-CN"/>
        </w:rPr>
        <w:t>近期建设学校详见下表：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u w:val="none"/>
          <w:lang w:eastAsia="zh-CN"/>
        </w:rPr>
      </w:pPr>
      <w:r>
        <w:rPr>
          <w:rFonts w:hint="eastAsia"/>
          <w:b/>
          <w:bCs/>
          <w:u w:val="none"/>
          <w:lang w:eastAsia="zh-CN"/>
        </w:rPr>
        <w:t>表九</w:t>
      </w:r>
      <w:r>
        <w:rPr>
          <w:rFonts w:hint="eastAsia"/>
          <w:b/>
          <w:bCs/>
          <w:u w:val="none"/>
          <w:lang w:val="en-US" w:eastAsia="zh-CN"/>
        </w:rPr>
        <w:t xml:space="preserve">   </w:t>
      </w:r>
      <w:r>
        <w:rPr>
          <w:rFonts w:hint="eastAsia"/>
          <w:b/>
          <w:bCs/>
          <w:u w:val="none"/>
          <w:lang w:eastAsia="zh-CN"/>
        </w:rPr>
        <w:t>近期建设完全小学一览表</w:t>
      </w:r>
    </w:p>
    <w:tbl>
      <w:tblPr>
        <w:tblStyle w:val="3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3"/>
        <w:gridCol w:w="3743"/>
        <w:gridCol w:w="1114"/>
        <w:gridCol w:w="5617"/>
        <w:gridCol w:w="1485"/>
        <w:gridCol w:w="14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序号</w:t>
            </w:r>
          </w:p>
        </w:tc>
        <w:tc>
          <w:tcPr>
            <w:tcW w:w="1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学校名称</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学校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性质</w:t>
            </w:r>
          </w:p>
        </w:tc>
        <w:tc>
          <w:tcPr>
            <w:tcW w:w="1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所在位置</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所属区域</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1</w:t>
            </w:r>
          </w:p>
        </w:tc>
        <w:tc>
          <w:tcPr>
            <w:tcW w:w="1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X-05（白马湖小学）</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1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高教路与白马街交叉口东南角</w:t>
            </w:r>
          </w:p>
        </w:tc>
        <w:tc>
          <w:tcPr>
            <w:tcW w:w="52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武陵区</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近期建设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2</w:t>
            </w:r>
          </w:p>
        </w:tc>
        <w:tc>
          <w:tcPr>
            <w:tcW w:w="1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X-08（丰彩小学）</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1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永安西路与德安路交叉口西北角</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鼎城区</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近期建设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3</w:t>
            </w:r>
          </w:p>
        </w:tc>
        <w:tc>
          <w:tcPr>
            <w:tcW w:w="1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X-10</w:t>
            </w:r>
            <w:r>
              <w:rPr>
                <w:rFonts w:hint="eastAsia"/>
                <w:u w:val="none"/>
                <w:lang w:val="en-US" w:eastAsia="zh-CN"/>
              </w:rPr>
              <w:br w:type="textWrapping"/>
            </w:r>
            <w:r>
              <w:rPr>
                <w:rFonts w:hint="eastAsia"/>
                <w:u w:val="none"/>
                <w:lang w:val="en-US" w:eastAsia="zh-CN"/>
              </w:rPr>
              <w:t>（桃花山小学与苏家渡小学合并）</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1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窑东路、东沿路、熊家湾路、叶家堰路围合区域</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经开区</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近期建设</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u w:val="none"/>
          <w:lang w:eastAsia="zh-CN"/>
        </w:rPr>
      </w:pPr>
      <w:r>
        <w:rPr>
          <w:rFonts w:hint="eastAsia"/>
          <w:b/>
          <w:bCs/>
          <w:u w:val="none"/>
          <w:lang w:eastAsia="zh-CN"/>
        </w:rPr>
        <w:t>表十</w:t>
      </w:r>
      <w:r>
        <w:rPr>
          <w:rFonts w:hint="eastAsia"/>
          <w:b/>
          <w:bCs/>
          <w:u w:val="none"/>
          <w:lang w:val="en-US" w:eastAsia="zh-CN"/>
        </w:rPr>
        <w:t xml:space="preserve">   </w:t>
      </w:r>
      <w:r>
        <w:rPr>
          <w:rFonts w:hint="eastAsia"/>
          <w:b/>
          <w:bCs/>
          <w:u w:val="none"/>
          <w:lang w:eastAsia="zh-CN"/>
        </w:rPr>
        <w:t>近期建设九年一贯制学校一览表</w:t>
      </w:r>
    </w:p>
    <w:tbl>
      <w:tblPr>
        <w:tblStyle w:val="3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5"/>
        <w:gridCol w:w="3743"/>
        <w:gridCol w:w="1097"/>
        <w:gridCol w:w="5611"/>
        <w:gridCol w:w="1499"/>
        <w:gridCol w:w="14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序号</w:t>
            </w:r>
          </w:p>
        </w:tc>
        <w:tc>
          <w:tcPr>
            <w:tcW w:w="13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学校名称</w:t>
            </w:r>
          </w:p>
        </w:tc>
        <w:tc>
          <w:tcPr>
            <w:tcW w:w="3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lang w:val="en-US" w:eastAsia="zh-CN"/>
              </w:rPr>
            </w:pPr>
            <w:r>
              <w:rPr>
                <w:rFonts w:hint="eastAsia"/>
                <w:u w:val="none"/>
                <w:lang w:val="en-US" w:eastAsia="zh-CN"/>
              </w:rPr>
              <w:t>学校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性质</w:t>
            </w:r>
          </w:p>
        </w:tc>
        <w:tc>
          <w:tcPr>
            <w:tcW w:w="19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所在位置</w:t>
            </w:r>
          </w:p>
        </w:tc>
        <w:tc>
          <w:tcPr>
            <w:tcW w:w="5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所属区域</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13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19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1</w:t>
            </w:r>
          </w:p>
        </w:tc>
        <w:tc>
          <w:tcPr>
            <w:tcW w:w="1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XC-04</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1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珠港路与昌平路交叉口东侧</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高新区</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近期建设</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u w:val="none"/>
          <w:lang w:eastAsia="zh-CN"/>
        </w:rPr>
      </w:pPr>
      <w:r>
        <w:rPr>
          <w:rFonts w:hint="eastAsia"/>
          <w:b/>
          <w:bCs/>
          <w:u w:val="none"/>
          <w:lang w:eastAsia="zh-CN"/>
        </w:rPr>
        <w:t>表十一</w:t>
      </w:r>
      <w:r>
        <w:rPr>
          <w:rFonts w:hint="eastAsia"/>
          <w:b/>
          <w:bCs/>
          <w:u w:val="none"/>
          <w:lang w:val="en-US" w:eastAsia="zh-CN"/>
        </w:rPr>
        <w:t xml:space="preserve">   </w:t>
      </w:r>
      <w:r>
        <w:rPr>
          <w:rFonts w:hint="eastAsia"/>
          <w:b/>
          <w:bCs/>
          <w:u w:val="none"/>
          <w:lang w:eastAsia="zh-CN"/>
        </w:rPr>
        <w:t>近期建设幼儿园一览表</w:t>
      </w:r>
    </w:p>
    <w:tbl>
      <w:tblPr>
        <w:tblStyle w:val="36"/>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0"/>
        <w:gridCol w:w="2584"/>
        <w:gridCol w:w="1043"/>
        <w:gridCol w:w="5455"/>
        <w:gridCol w:w="2386"/>
        <w:gridCol w:w="13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序号</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名称</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性质</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所在位置</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所属城区</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规Y-07</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东风路与三星路交汇处东南侧</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武陵区</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近期建设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规Y-18</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熊家湾路与东田碑路交汇处东北侧</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经开区</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近期建设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规Y-23</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牟家岗路与岩子堰路交汇处东南侧</w:t>
            </w:r>
          </w:p>
        </w:tc>
        <w:tc>
          <w:tcPr>
            <w:tcW w:w="8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柳叶湖度假区</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近期建设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规Y-24</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公办</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高丰路与泉水路交汇处东南侧</w:t>
            </w:r>
          </w:p>
        </w:tc>
        <w:tc>
          <w:tcPr>
            <w:tcW w:w="8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u w:val="none"/>
              </w:rPr>
            </w:pPr>
            <w:r>
              <w:rPr>
                <w:rFonts w:hint="eastAsia"/>
                <w:u w:val="none"/>
                <w:lang w:val="en-US" w:eastAsia="zh-CN"/>
              </w:rPr>
              <w:t>近期建设</w:t>
            </w:r>
          </w:p>
        </w:tc>
      </w:tr>
    </w:tbl>
    <w:p>
      <w:pPr>
        <w:pStyle w:val="2"/>
        <w:bidi w:val="0"/>
        <w:rPr>
          <w:color w:val="auto"/>
          <w:u w:val="none"/>
        </w:rPr>
      </w:pPr>
      <w:bookmarkStart w:id="207" w:name="_Toc28013"/>
      <w:r>
        <w:rPr>
          <w:rFonts w:hint="eastAsia"/>
          <w:color w:val="auto"/>
          <w:u w:val="none"/>
        </w:rPr>
        <w:t>规划实施</w:t>
      </w:r>
      <w:bookmarkEnd w:id="207"/>
    </w:p>
    <w:p>
      <w:pPr>
        <w:pStyle w:val="3"/>
        <w:bidi w:val="0"/>
        <w:spacing w:line="460" w:lineRule="exact"/>
        <w:outlineLvl w:val="0"/>
        <w:rPr>
          <w:rFonts w:hint="eastAsia"/>
          <w:color w:val="auto"/>
          <w:u w:val="none"/>
        </w:rPr>
      </w:pPr>
      <w:bookmarkStart w:id="208" w:name="_Toc6166"/>
      <w:bookmarkStart w:id="209" w:name="_Toc5792"/>
      <w:bookmarkStart w:id="210" w:name="_Toc12666"/>
      <w:bookmarkStart w:id="211" w:name="_Toc31603"/>
      <w:bookmarkStart w:id="212" w:name="_Toc23523"/>
      <w:bookmarkStart w:id="213" w:name="_Toc20297"/>
      <w:bookmarkStart w:id="214" w:name="_Toc1901"/>
      <w:bookmarkStart w:id="215" w:name="_Toc10556"/>
      <w:r>
        <w:rPr>
          <w:rFonts w:hint="eastAsia"/>
          <w:color w:val="auto"/>
          <w:u w:val="none"/>
        </w:rPr>
        <w:t>实施措施</w:t>
      </w:r>
      <w:bookmarkEnd w:id="208"/>
      <w:bookmarkEnd w:id="209"/>
      <w:bookmarkEnd w:id="210"/>
      <w:bookmarkEnd w:id="211"/>
      <w:bookmarkEnd w:id="212"/>
      <w:bookmarkEnd w:id="213"/>
      <w:bookmarkEnd w:id="214"/>
      <w:bookmarkEnd w:id="215"/>
    </w:p>
    <w:p>
      <w:pPr>
        <w:pStyle w:val="4"/>
        <w:keepNext/>
        <w:keepLines/>
        <w:pageBreakBefore w:val="0"/>
        <w:widowControl w:val="0"/>
        <w:numPr>
          <w:ilvl w:val="0"/>
          <w:numId w:val="11"/>
        </w:numPr>
        <w:kinsoku/>
        <w:wordWrap/>
        <w:overflowPunct/>
        <w:topLinePunct w:val="0"/>
        <w:autoSpaceDE/>
        <w:autoSpaceDN/>
        <w:bidi w:val="0"/>
        <w:adjustRightInd/>
        <w:snapToGrid/>
        <w:ind w:left="900" w:firstLineChars="0"/>
        <w:textAlignment w:val="auto"/>
        <w:rPr>
          <w:color w:val="auto"/>
          <w:u w:val="none"/>
        </w:rPr>
      </w:pPr>
      <w:r>
        <w:rPr>
          <w:color w:val="auto"/>
          <w:u w:val="none"/>
        </w:rPr>
        <w:t>强化规划的权威性</w:t>
      </w:r>
    </w:p>
    <w:p>
      <w:pPr>
        <w:bidi w:val="0"/>
        <w:rPr>
          <w:color w:val="auto"/>
          <w:u w:val="none"/>
        </w:rPr>
      </w:pPr>
      <w:r>
        <w:rPr>
          <w:color w:val="auto"/>
          <w:u w:val="none"/>
        </w:rPr>
        <w:t>该规划一经批准，就具有一定的法定效力，在以后市城区学校建设中，我们要将规划的权威性强化，保证规划能指导各类学校在规划期内的有序建设</w:t>
      </w:r>
      <w:r>
        <w:rPr>
          <w:rFonts w:hint="eastAsia"/>
          <w:color w:val="auto"/>
          <w:u w:val="none"/>
        </w:rPr>
        <w:t>；</w:t>
      </w:r>
      <w:r>
        <w:rPr>
          <w:color w:val="auto"/>
          <w:u w:val="none"/>
        </w:rPr>
        <w:t>严格执行成片成规模建设的原则，严禁零星分散式建设</w:t>
      </w:r>
      <w:r>
        <w:rPr>
          <w:rFonts w:hint="eastAsia"/>
          <w:color w:val="auto"/>
          <w:u w:val="none"/>
        </w:rPr>
        <w:t>；</w:t>
      </w:r>
      <w:r>
        <w:rPr>
          <w:color w:val="auto"/>
          <w:u w:val="none"/>
        </w:rPr>
        <w:t>严格执行规划的公示制度</w:t>
      </w:r>
      <w:r>
        <w:rPr>
          <w:rFonts w:hint="eastAsia"/>
          <w:color w:val="auto"/>
          <w:u w:val="none"/>
        </w:rPr>
        <w:t>，</w:t>
      </w:r>
      <w:r>
        <w:rPr>
          <w:color w:val="auto"/>
          <w:u w:val="none"/>
        </w:rPr>
        <w:t>重要或有特殊要求的学校建设项目，对其规划设计进行公示，广泛征求市民意见与监督。</w:t>
      </w:r>
    </w:p>
    <w:p>
      <w:pPr>
        <w:pStyle w:val="4"/>
        <w:bidi w:val="0"/>
        <w:rPr>
          <w:color w:val="auto"/>
          <w:u w:val="none"/>
        </w:rPr>
      </w:pPr>
      <w:r>
        <w:rPr>
          <w:color w:val="auto"/>
          <w:u w:val="none"/>
        </w:rPr>
        <w:t>强化规划相关部门的责任性</w:t>
      </w:r>
    </w:p>
    <w:p>
      <w:pPr>
        <w:bidi w:val="0"/>
        <w:rPr>
          <w:color w:val="auto"/>
          <w:u w:val="none"/>
        </w:rPr>
      </w:pPr>
      <w:r>
        <w:rPr>
          <w:color w:val="auto"/>
          <w:u w:val="none"/>
        </w:rPr>
        <w:t>在规划实施中应落实学校布局规划的责任主体。市教育部门、规划部门是规划执行机构。同时在实施中应明确分工，明确任务、明确责任，确保规划的顺利实施。严格执行学校建设项目准入制。对不符合城市总体规划与本规划控制要求的学校建设项目，不予规划审批。对所有学校建设项目严格实行“统一规划、统一实施、统一管理”的管理措施</w:t>
      </w:r>
      <w:r>
        <w:rPr>
          <w:rFonts w:hint="eastAsia"/>
          <w:color w:val="auto"/>
          <w:u w:val="none"/>
        </w:rPr>
        <w:t>。</w:t>
      </w:r>
    </w:p>
    <w:p>
      <w:pPr>
        <w:pStyle w:val="4"/>
        <w:bidi w:val="0"/>
        <w:rPr>
          <w:color w:val="auto"/>
          <w:u w:val="none"/>
        </w:rPr>
      </w:pPr>
      <w:r>
        <w:rPr>
          <w:color w:val="auto"/>
          <w:u w:val="none"/>
        </w:rPr>
        <w:t>强化规划的可操作性</w:t>
      </w:r>
    </w:p>
    <w:p>
      <w:pPr>
        <w:bidi w:val="0"/>
        <w:rPr>
          <w:color w:val="auto"/>
          <w:u w:val="none"/>
        </w:rPr>
      </w:pPr>
      <w:bookmarkStart w:id="216" w:name="_Toc31930"/>
      <w:bookmarkStart w:id="217" w:name="_Toc2703"/>
      <w:bookmarkStart w:id="218" w:name="_Toc27712"/>
      <w:bookmarkStart w:id="219" w:name="_Toc29100"/>
      <w:r>
        <w:rPr>
          <w:color w:val="auto"/>
          <w:u w:val="none"/>
        </w:rPr>
        <w:t>依据规划，制定年度实施方案，并按计划完成各年度计划，同时认真测算资金，坚持建设标准，严格资金预算，把握重点，科学打造亮点，全面提高常德市教育事业的整体水平。严格执行规划实施的弹性制度。学校的选点和学校规模可以视情况进行可以在弹性范围内进行调整，保证规划的弹性发展和可持续发展。</w:t>
      </w:r>
    </w:p>
    <w:bookmarkEnd w:id="216"/>
    <w:bookmarkEnd w:id="217"/>
    <w:bookmarkEnd w:id="218"/>
    <w:bookmarkEnd w:id="219"/>
    <w:p>
      <w:pPr>
        <w:bidi w:val="0"/>
        <w:rPr>
          <w:rFonts w:hint="eastAsia"/>
          <w:b/>
          <w:bCs/>
          <w:color w:val="auto"/>
          <w:u w:val="none"/>
        </w:rPr>
      </w:pPr>
    </w:p>
    <w:p>
      <w:pPr>
        <w:pStyle w:val="2"/>
        <w:rPr>
          <w:rFonts w:hint="eastAsia"/>
          <w:u w:val="none"/>
          <w:lang w:val="en-US" w:eastAsia="zh-CN"/>
        </w:rPr>
      </w:pPr>
      <w:r>
        <w:rPr>
          <w:rFonts w:hint="eastAsia"/>
          <w:b/>
          <w:bCs/>
          <w:color w:val="auto"/>
          <w:u w:val="none"/>
          <w:lang w:eastAsia="zh-CN"/>
        </w:rPr>
        <w:t>附图</w:t>
      </w: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bidi w:val="0"/>
        <w:rPr>
          <w:rFonts w:hint="eastAsia"/>
          <w:u w:val="none"/>
          <w:lang w:val="en-US" w:eastAsia="zh-CN"/>
        </w:rPr>
      </w:pPr>
    </w:p>
    <w:p>
      <w:pPr>
        <w:rPr>
          <w:rFonts w:hint="eastAsia"/>
          <w:u w:val="none"/>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u w:val="none"/>
          <w:lang w:val="en-US" w:eastAsia="zh-CN"/>
        </w:rPr>
      </w:pPr>
      <w:r>
        <w:rPr>
          <w:rFonts w:hint="eastAsia"/>
          <w:u w:val="none"/>
          <w:lang w:val="en-US" w:eastAsia="zh-CN"/>
        </w:rPr>
        <w:drawing>
          <wp:inline distT="0" distB="0" distL="114300" distR="114300">
            <wp:extent cx="8860155" cy="12531725"/>
            <wp:effectExtent l="0" t="0" r="17145" b="3175"/>
            <wp:docPr id="1" name="图片 1" descr="06总体规划布局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06总体规划布局图"/>
                    <pic:cNvPicPr>
                      <a:picLocks noChangeAspect="true"/>
                    </pic:cNvPicPr>
                  </pic:nvPicPr>
                  <pic:blipFill>
                    <a:blip r:embed="rId8"/>
                    <a:stretch>
                      <a:fillRect/>
                    </a:stretch>
                  </pic:blipFill>
                  <pic:spPr>
                    <a:xfrm>
                      <a:off x="0" y="0"/>
                      <a:ext cx="8860155" cy="12531725"/>
                    </a:xfrm>
                    <a:prstGeom prst="rect">
                      <a:avLst/>
                    </a:prstGeom>
                  </pic:spPr>
                </pic:pic>
              </a:graphicData>
            </a:graphic>
          </wp:inline>
        </w:drawing>
      </w:r>
      <w:r>
        <w:rPr>
          <w:rFonts w:hint="eastAsia"/>
          <w:u w:val="none"/>
          <w:lang w:val="en-US" w:eastAsia="zh-CN"/>
        </w:rPr>
        <w:drawing>
          <wp:inline distT="0" distB="0" distL="114300" distR="114300">
            <wp:extent cx="8860155" cy="12531725"/>
            <wp:effectExtent l="0" t="0" r="17145" b="3175"/>
            <wp:docPr id="2" name="图片 2" descr="16幼儿园规划布局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16幼儿园规划布局图"/>
                    <pic:cNvPicPr>
                      <a:picLocks noChangeAspect="true"/>
                    </pic:cNvPicPr>
                  </pic:nvPicPr>
                  <pic:blipFill>
                    <a:blip r:embed="rId9"/>
                    <a:stretch>
                      <a:fillRect/>
                    </a:stretch>
                  </pic:blipFill>
                  <pic:spPr>
                    <a:xfrm>
                      <a:off x="0" y="0"/>
                      <a:ext cx="8860155" cy="12531725"/>
                    </a:xfrm>
                    <a:prstGeom prst="rect">
                      <a:avLst/>
                    </a:prstGeom>
                  </pic:spPr>
                </pic:pic>
              </a:graphicData>
            </a:graphic>
          </wp:inline>
        </w:drawing>
      </w:r>
    </w:p>
    <w:sectPr>
      <w:headerReference r:id="rId5" w:type="default"/>
      <w:footerReference r:id="rId6" w:type="default"/>
      <w:type w:val="continuous"/>
      <w:pgSz w:w="16838" w:h="23811"/>
      <w:pgMar w:top="1797" w:right="1440" w:bottom="1985"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CC"/>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Cambria">
    <w:altName w:val="FreeSerif"/>
    <w:panose1 w:val="02040503050406030204"/>
    <w:charset w:val="00"/>
    <w:family w:val="roman"/>
    <w:pitch w:val="default"/>
    <w:sig w:usb0="00000000" w:usb1="00000000" w:usb2="00000000" w:usb3="00000000" w:csb0="2000019F" w:csb1="00000000"/>
  </w:font>
  <w:font w:name="华文细黑">
    <w:panose1 w:val="02010600040101010101"/>
    <w:charset w:val="86"/>
    <w:family w:val="auto"/>
    <w:pitch w:val="default"/>
    <w:sig w:usb0="00000287" w:usb1="080F0000" w:usb2="00000000" w:usb3="00000000" w:csb0="0004009F" w:csb1="DFD70000"/>
  </w:font>
  <w:font w:name="Tahoma">
    <w:altName w:val="Droid Sans"/>
    <w:panose1 w:val="020B0604030504040204"/>
    <w:charset w:val="00"/>
    <w:family w:val="swiss"/>
    <w:pitch w:val="default"/>
    <w:sig w:usb0="00000000" w:usb1="00000000"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宋体.">
    <w:altName w:val="方正书宋_GBK"/>
    <w:panose1 w:val="00000000000000000000"/>
    <w:charset w:val="86"/>
    <w:family w:val="roman"/>
    <w:pitch w:val="default"/>
    <w:sig w:usb0="00000000" w:usb1="00000000" w:usb2="00000010" w:usb3="00000000" w:csb0="00040000" w:csb1="00000000"/>
  </w:font>
  <w:font w:name="微软雅黑">
    <w:altName w:val="黑体"/>
    <w:panose1 w:val="020B0503020204020204"/>
    <w:charset w:val="86"/>
    <w:family w:val="auto"/>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FreeSerif">
    <w:panose1 w:val="02020603050405020304"/>
    <w:charset w:val="00"/>
    <w:family w:val="auto"/>
    <w:pitch w:val="default"/>
    <w:sig w:usb0="E59FAFFF" w:usb1="C200FDFF" w:usb2="43501B29" w:usb3="04000043" w:csb0="600101FF" w:csb1="FFFF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Droid Sans">
    <w:panose1 w:val="020B0606030804020204"/>
    <w:charset w:val="00"/>
    <w:family w:val="auto"/>
    <w:pitch w:val="default"/>
    <w:sig w:usb0="E00002EF" w:usb1="4000205B" w:usb2="00000028"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87474"/>
      <w:docPartObj>
        <w:docPartGallery w:val="autotext"/>
      </w:docPartObj>
    </w:sdtPr>
    <w:sdtContent>
      <w:p>
        <w:pPr>
          <w:pStyle w:val="22"/>
          <w:ind w:firstLine="360"/>
          <w:jc w:val="center"/>
        </w:pPr>
        <w:r>
          <w:fldChar w:fldCharType="begin"/>
        </w:r>
        <w:r>
          <w:instrText xml:space="preserve"> PAGE   \* MERGEFORMAT </w:instrText>
        </w:r>
        <w:r>
          <w:fldChar w:fldCharType="separate"/>
        </w:r>
        <w:r>
          <w:rPr>
            <w:lang w:val="zh-CN"/>
          </w:rPr>
          <w:t>50</w:t>
        </w:r>
        <w:r>
          <w:rPr>
            <w:lang w:val="zh-CN"/>
          </w:rPr>
          <w:fldChar w:fldCharType="end"/>
        </w:r>
      </w:p>
    </w:sdtContent>
  </w:sdt>
  <w:p>
    <w:pPr>
      <w:pStyle w:val="2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ind w:firstLine="360"/>
      <w:jc w:val="right"/>
      <w:rPr>
        <w:rFonts w:hint="eastAsia" w:eastAsiaTheme="minor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0DF1B"/>
    <w:multiLevelType w:val="multilevel"/>
    <w:tmpl w:val="9590DF1B"/>
    <w:lvl w:ilvl="0" w:tentative="0">
      <w:start w:val="1"/>
      <w:numFmt w:val="chineseCountingThousand"/>
      <w:pStyle w:val="2"/>
      <w:lvlText w:val="第%1章"/>
      <w:lvlJc w:val="left"/>
      <w:pPr>
        <w:ind w:left="3828" w:hanging="425"/>
      </w:pPr>
      <w:rPr>
        <w:rFonts w:hint="eastAsia"/>
      </w:rPr>
    </w:lvl>
    <w:lvl w:ilvl="1" w:tentative="0">
      <w:start w:val="1"/>
      <w:numFmt w:val="decimal"/>
      <w:lvlRestart w:val="0"/>
      <w:pStyle w:val="3"/>
      <w:lvlText w:val="第%2条"/>
      <w:lvlJc w:val="left"/>
      <w:pPr>
        <w:ind w:left="567" w:hanging="567"/>
      </w:pPr>
      <w:rPr>
        <w:rFonts w:hint="eastAsia" w:ascii="宋体" w:hAnsi="宋体" w:eastAsia="宋体" w:cs="宋体"/>
      </w:rPr>
    </w:lvl>
    <w:lvl w:ilvl="2" w:tentative="0">
      <w:start w:val="1"/>
      <w:numFmt w:val="decimal"/>
      <w:lvlText w:val="%3、"/>
      <w:lvlJc w:val="left"/>
      <w:pPr>
        <w:ind w:left="1418" w:hanging="567"/>
      </w:pPr>
      <w:rPr>
        <w:rFonts w:hint="eastAsia" w:ascii="宋体" w:hAnsi="宋体" w:eastAsia="宋体" w:cs="宋体"/>
      </w:rPr>
    </w:lvl>
    <w:lvl w:ilvl="3" w:tentative="0">
      <w:start w:val="1"/>
      <w:numFmt w:val="decimal"/>
      <w:lvlText w:val="表%4 "/>
      <w:lvlJc w:val="center"/>
      <w:pPr>
        <w:ind w:left="1984" w:hanging="708"/>
      </w:pPr>
      <w:rPr>
        <w:rFonts w:hint="eastAsia" w:ascii="宋体" w:hAnsi="宋体" w:eastAsia="宋体" w:cs="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D5395DF9"/>
    <w:multiLevelType w:val="multilevel"/>
    <w:tmpl w:val="D5395DF9"/>
    <w:lvl w:ilvl="0" w:tentative="0">
      <w:start w:val="1"/>
      <w:numFmt w:val="decimal"/>
      <w:pStyle w:val="8"/>
      <w:lvlText w:val="第%1条 "/>
      <w:lvlJc w:val="left"/>
      <w:pPr>
        <w:ind w:left="846"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2CEFE7F"/>
    <w:multiLevelType w:val="singleLevel"/>
    <w:tmpl w:val="02CEFE7F"/>
    <w:lvl w:ilvl="0" w:tentative="0">
      <w:start w:val="1"/>
      <w:numFmt w:val="decimal"/>
      <w:suff w:val="nothing"/>
      <w:lvlText w:val="（%1）"/>
      <w:lvlJc w:val="left"/>
    </w:lvl>
  </w:abstractNum>
  <w:abstractNum w:abstractNumId="3">
    <w:nsid w:val="080458E0"/>
    <w:multiLevelType w:val="singleLevel"/>
    <w:tmpl w:val="080458E0"/>
    <w:lvl w:ilvl="0" w:tentative="0">
      <w:start w:val="1"/>
      <w:numFmt w:val="decimal"/>
      <w:suff w:val="nothing"/>
      <w:lvlText w:val="（%1）"/>
      <w:lvlJc w:val="left"/>
    </w:lvl>
  </w:abstractNum>
  <w:abstractNum w:abstractNumId="4">
    <w:nsid w:val="166CDAAD"/>
    <w:multiLevelType w:val="multilevel"/>
    <w:tmpl w:val="166CDAAD"/>
    <w:lvl w:ilvl="0" w:tentative="0">
      <w:start w:val="1"/>
      <w:numFmt w:val="decimal"/>
      <w:lvlText w:val="第%1章"/>
      <w:lvlJc w:val="left"/>
      <w:pPr>
        <w:ind w:left="3828" w:hanging="425"/>
      </w:pPr>
      <w:rPr>
        <w:rFonts w:hint="default" w:ascii="宋体" w:hAnsi="宋体" w:eastAsia="宋体" w:cs="宋体"/>
      </w:rPr>
    </w:lvl>
    <w:lvl w:ilvl="1" w:tentative="0">
      <w:start w:val="1"/>
      <w:numFmt w:val="decimal"/>
      <w:lvlText w:val="第%2条"/>
      <w:lvlJc w:val="left"/>
      <w:pPr>
        <w:ind w:left="567" w:hanging="567"/>
      </w:pPr>
      <w:rPr>
        <w:rFonts w:hint="default" w:ascii="宋体" w:hAnsi="宋体" w:eastAsia="宋体" w:cs="宋体"/>
      </w:rPr>
    </w:lvl>
    <w:lvl w:ilvl="2" w:tentative="0">
      <w:start w:val="1"/>
      <w:numFmt w:val="decimal"/>
      <w:lvlText w:val="%3、"/>
      <w:lvlJc w:val="left"/>
      <w:pPr>
        <w:ind w:left="1418" w:hanging="567"/>
      </w:pPr>
      <w:rPr>
        <w:rFonts w:hint="eastAsia" w:ascii="宋体" w:hAnsi="宋体" w:eastAsia="宋体" w:cs="宋体"/>
      </w:rPr>
    </w:lvl>
    <w:lvl w:ilvl="3" w:tentative="0">
      <w:start w:val="1"/>
      <w:numFmt w:val="decimal"/>
      <w:pStyle w:val="5"/>
      <w:lvlText w:val="表%4 "/>
      <w:lvlJc w:val="center"/>
      <w:pPr>
        <w:ind w:left="1984" w:hanging="708"/>
      </w:pPr>
      <w:rPr>
        <w:rFonts w:hint="eastAsia" w:ascii="宋体" w:hAnsi="宋体" w:eastAsia="宋体" w:cs="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227A6881"/>
    <w:multiLevelType w:val="multilevel"/>
    <w:tmpl w:val="227A6881"/>
    <w:lvl w:ilvl="0" w:tentative="0">
      <w:start w:val="1"/>
      <w:numFmt w:val="decimal"/>
      <w:pStyle w:val="4"/>
      <w:lvlText w:val="%1."/>
      <w:lvlJc w:val="left"/>
      <w:pPr>
        <w:ind w:left="13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12FADC"/>
    <w:multiLevelType w:val="singleLevel"/>
    <w:tmpl w:val="5712FADC"/>
    <w:lvl w:ilvl="0" w:tentative="0">
      <w:start w:val="4"/>
      <w:numFmt w:val="decimal"/>
      <w:suff w:val="nothing"/>
      <w:lvlText w:val="（%1）"/>
      <w:lvlJc w:val="left"/>
    </w:lvl>
  </w:abstractNum>
  <w:num w:numId="1">
    <w:abstractNumId w:val="0"/>
  </w:num>
  <w:num w:numId="2">
    <w:abstractNumId w:val="5"/>
  </w:num>
  <w:num w:numId="3">
    <w:abstractNumId w:val="4"/>
  </w:num>
  <w:num w:numId="4">
    <w:abstractNumId w:val="6"/>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hideSpellingErrors/>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iYTJjMDllYTg5MTAxMDViNTk4M2U2MzZiNmZlMjQifQ=="/>
  </w:docVars>
  <w:rsids>
    <w:rsidRoot w:val="00865BD9"/>
    <w:rsid w:val="00012C4E"/>
    <w:rsid w:val="00014145"/>
    <w:rsid w:val="00033E49"/>
    <w:rsid w:val="0003610E"/>
    <w:rsid w:val="0004199C"/>
    <w:rsid w:val="00095384"/>
    <w:rsid w:val="000E6254"/>
    <w:rsid w:val="00140E6A"/>
    <w:rsid w:val="001F1ECA"/>
    <w:rsid w:val="00367D00"/>
    <w:rsid w:val="00385FCF"/>
    <w:rsid w:val="003F106E"/>
    <w:rsid w:val="00436C53"/>
    <w:rsid w:val="00483C7F"/>
    <w:rsid w:val="005736E6"/>
    <w:rsid w:val="00630A5E"/>
    <w:rsid w:val="00653026"/>
    <w:rsid w:val="006A26F5"/>
    <w:rsid w:val="006C655C"/>
    <w:rsid w:val="00705973"/>
    <w:rsid w:val="00766EB9"/>
    <w:rsid w:val="007E47B7"/>
    <w:rsid w:val="00865BD9"/>
    <w:rsid w:val="009A0655"/>
    <w:rsid w:val="009D7863"/>
    <w:rsid w:val="00A01EFA"/>
    <w:rsid w:val="00A176FA"/>
    <w:rsid w:val="00A63A04"/>
    <w:rsid w:val="00AC28FB"/>
    <w:rsid w:val="00B03F6B"/>
    <w:rsid w:val="00B15679"/>
    <w:rsid w:val="00BA642B"/>
    <w:rsid w:val="00BD433B"/>
    <w:rsid w:val="00C110A8"/>
    <w:rsid w:val="00C61C1A"/>
    <w:rsid w:val="00DD7673"/>
    <w:rsid w:val="00E10D2A"/>
    <w:rsid w:val="00E33FC6"/>
    <w:rsid w:val="00E356C4"/>
    <w:rsid w:val="00E561D5"/>
    <w:rsid w:val="00E92981"/>
    <w:rsid w:val="00E9470E"/>
    <w:rsid w:val="00EB0EAC"/>
    <w:rsid w:val="00EC26AE"/>
    <w:rsid w:val="00F56BFA"/>
    <w:rsid w:val="00FE298D"/>
    <w:rsid w:val="012810B4"/>
    <w:rsid w:val="012B6DB0"/>
    <w:rsid w:val="0139591A"/>
    <w:rsid w:val="014E5FE4"/>
    <w:rsid w:val="01BD4B52"/>
    <w:rsid w:val="029D0C70"/>
    <w:rsid w:val="02FA06D2"/>
    <w:rsid w:val="03623AF3"/>
    <w:rsid w:val="03AA58ED"/>
    <w:rsid w:val="04197779"/>
    <w:rsid w:val="043B3A03"/>
    <w:rsid w:val="044714F3"/>
    <w:rsid w:val="04902187"/>
    <w:rsid w:val="049B5518"/>
    <w:rsid w:val="04A443F4"/>
    <w:rsid w:val="05024316"/>
    <w:rsid w:val="074831D4"/>
    <w:rsid w:val="07821BC0"/>
    <w:rsid w:val="07F03043"/>
    <w:rsid w:val="08051D66"/>
    <w:rsid w:val="081C5AC9"/>
    <w:rsid w:val="08DD233C"/>
    <w:rsid w:val="091767EF"/>
    <w:rsid w:val="091F75AB"/>
    <w:rsid w:val="095A4B58"/>
    <w:rsid w:val="096C5F59"/>
    <w:rsid w:val="09CB40F2"/>
    <w:rsid w:val="0A2044AE"/>
    <w:rsid w:val="0A5A7E49"/>
    <w:rsid w:val="0A944573"/>
    <w:rsid w:val="0ADB5AFF"/>
    <w:rsid w:val="0BC003A4"/>
    <w:rsid w:val="0C91202A"/>
    <w:rsid w:val="0CA55ED3"/>
    <w:rsid w:val="0D1F020A"/>
    <w:rsid w:val="0D2E376F"/>
    <w:rsid w:val="0D5D1862"/>
    <w:rsid w:val="0D737E1A"/>
    <w:rsid w:val="0DFC18FF"/>
    <w:rsid w:val="0E0F191B"/>
    <w:rsid w:val="0FA27D62"/>
    <w:rsid w:val="0FBE4A0B"/>
    <w:rsid w:val="104B369B"/>
    <w:rsid w:val="10815A50"/>
    <w:rsid w:val="108A111A"/>
    <w:rsid w:val="111531DE"/>
    <w:rsid w:val="115E787E"/>
    <w:rsid w:val="117D18DE"/>
    <w:rsid w:val="118D6D2D"/>
    <w:rsid w:val="1225749D"/>
    <w:rsid w:val="128B7788"/>
    <w:rsid w:val="135944E3"/>
    <w:rsid w:val="13824527"/>
    <w:rsid w:val="13BA6475"/>
    <w:rsid w:val="13C46A1B"/>
    <w:rsid w:val="1428639F"/>
    <w:rsid w:val="149D3416"/>
    <w:rsid w:val="156102B8"/>
    <w:rsid w:val="157156C9"/>
    <w:rsid w:val="157B787A"/>
    <w:rsid w:val="161C5EE0"/>
    <w:rsid w:val="16730284"/>
    <w:rsid w:val="16AB7D0B"/>
    <w:rsid w:val="16FE1A0C"/>
    <w:rsid w:val="172A0108"/>
    <w:rsid w:val="175C51BC"/>
    <w:rsid w:val="188A3795"/>
    <w:rsid w:val="18A540A7"/>
    <w:rsid w:val="19C76ACE"/>
    <w:rsid w:val="1A772F00"/>
    <w:rsid w:val="1AD42ECA"/>
    <w:rsid w:val="1B745A95"/>
    <w:rsid w:val="1BB91825"/>
    <w:rsid w:val="1C4B5F0F"/>
    <w:rsid w:val="1CC87CB0"/>
    <w:rsid w:val="1CCB2BC4"/>
    <w:rsid w:val="1CF117B8"/>
    <w:rsid w:val="1DC809AE"/>
    <w:rsid w:val="1E09573C"/>
    <w:rsid w:val="1EB010FD"/>
    <w:rsid w:val="1EB72041"/>
    <w:rsid w:val="1F85557E"/>
    <w:rsid w:val="1FA41181"/>
    <w:rsid w:val="1FF84F98"/>
    <w:rsid w:val="20020FF7"/>
    <w:rsid w:val="200A2AEA"/>
    <w:rsid w:val="212F1BE9"/>
    <w:rsid w:val="213B24E5"/>
    <w:rsid w:val="216D74FF"/>
    <w:rsid w:val="225418B2"/>
    <w:rsid w:val="22D01DB2"/>
    <w:rsid w:val="231F0E13"/>
    <w:rsid w:val="23230B46"/>
    <w:rsid w:val="23593ED8"/>
    <w:rsid w:val="237B7D41"/>
    <w:rsid w:val="237C00A2"/>
    <w:rsid w:val="23CE7085"/>
    <w:rsid w:val="24CB3655"/>
    <w:rsid w:val="24D546DF"/>
    <w:rsid w:val="24E0178C"/>
    <w:rsid w:val="25F3318F"/>
    <w:rsid w:val="260D6B79"/>
    <w:rsid w:val="269779B5"/>
    <w:rsid w:val="26B119D0"/>
    <w:rsid w:val="26DF4115"/>
    <w:rsid w:val="26F06F0E"/>
    <w:rsid w:val="272441C6"/>
    <w:rsid w:val="283C23BA"/>
    <w:rsid w:val="28401148"/>
    <w:rsid w:val="28A9255F"/>
    <w:rsid w:val="29053F91"/>
    <w:rsid w:val="29687FA3"/>
    <w:rsid w:val="29801246"/>
    <w:rsid w:val="2A1F638E"/>
    <w:rsid w:val="2AE61515"/>
    <w:rsid w:val="2C0344AD"/>
    <w:rsid w:val="2C107287"/>
    <w:rsid w:val="2CD74A89"/>
    <w:rsid w:val="2D063A74"/>
    <w:rsid w:val="2DD23D35"/>
    <w:rsid w:val="2E6966E5"/>
    <w:rsid w:val="2EAF18AD"/>
    <w:rsid w:val="2EFA0714"/>
    <w:rsid w:val="2F415850"/>
    <w:rsid w:val="301E7436"/>
    <w:rsid w:val="30DC5460"/>
    <w:rsid w:val="31800E88"/>
    <w:rsid w:val="32C0007B"/>
    <w:rsid w:val="32E41460"/>
    <w:rsid w:val="33A90573"/>
    <w:rsid w:val="33AD04D7"/>
    <w:rsid w:val="33B870B7"/>
    <w:rsid w:val="33FB3528"/>
    <w:rsid w:val="35437FA2"/>
    <w:rsid w:val="354877BD"/>
    <w:rsid w:val="355C3F07"/>
    <w:rsid w:val="35DE755F"/>
    <w:rsid w:val="35FD2B27"/>
    <w:rsid w:val="360A4D31"/>
    <w:rsid w:val="369906A5"/>
    <w:rsid w:val="36A3314D"/>
    <w:rsid w:val="36FB4966"/>
    <w:rsid w:val="378B534A"/>
    <w:rsid w:val="37B6045F"/>
    <w:rsid w:val="37DF535A"/>
    <w:rsid w:val="381315F9"/>
    <w:rsid w:val="38212D01"/>
    <w:rsid w:val="384C7C31"/>
    <w:rsid w:val="387947BE"/>
    <w:rsid w:val="388D0A88"/>
    <w:rsid w:val="38DF3B73"/>
    <w:rsid w:val="3907384F"/>
    <w:rsid w:val="39351810"/>
    <w:rsid w:val="396B2B03"/>
    <w:rsid w:val="39D21D25"/>
    <w:rsid w:val="39E20B40"/>
    <w:rsid w:val="3A401FD9"/>
    <w:rsid w:val="3AE0789A"/>
    <w:rsid w:val="3B6C163C"/>
    <w:rsid w:val="3BC96A15"/>
    <w:rsid w:val="3C0B7503"/>
    <w:rsid w:val="3C8519FA"/>
    <w:rsid w:val="3CB630FD"/>
    <w:rsid w:val="3CF477D4"/>
    <w:rsid w:val="3CFC22F7"/>
    <w:rsid w:val="3DFA2532"/>
    <w:rsid w:val="3E313D42"/>
    <w:rsid w:val="3E674033"/>
    <w:rsid w:val="3ECE1049"/>
    <w:rsid w:val="3F0B3118"/>
    <w:rsid w:val="4021684B"/>
    <w:rsid w:val="40AC3037"/>
    <w:rsid w:val="413B50FE"/>
    <w:rsid w:val="421436BB"/>
    <w:rsid w:val="422D2F1F"/>
    <w:rsid w:val="42582420"/>
    <w:rsid w:val="42C13300"/>
    <w:rsid w:val="43397FDC"/>
    <w:rsid w:val="434704C5"/>
    <w:rsid w:val="435629F7"/>
    <w:rsid w:val="43617533"/>
    <w:rsid w:val="444C3136"/>
    <w:rsid w:val="453F7932"/>
    <w:rsid w:val="454E5035"/>
    <w:rsid w:val="45940BE5"/>
    <w:rsid w:val="46125A3B"/>
    <w:rsid w:val="464318E0"/>
    <w:rsid w:val="46510345"/>
    <w:rsid w:val="46814EC8"/>
    <w:rsid w:val="468F29C6"/>
    <w:rsid w:val="46CD6B57"/>
    <w:rsid w:val="4754006A"/>
    <w:rsid w:val="483134FE"/>
    <w:rsid w:val="49E9136A"/>
    <w:rsid w:val="4A8E0F4A"/>
    <w:rsid w:val="4A9B77CE"/>
    <w:rsid w:val="4AD20A91"/>
    <w:rsid w:val="4BB24E17"/>
    <w:rsid w:val="4D04119C"/>
    <w:rsid w:val="4D754306"/>
    <w:rsid w:val="4DA25636"/>
    <w:rsid w:val="4DB52955"/>
    <w:rsid w:val="4ED22058"/>
    <w:rsid w:val="4EE17877"/>
    <w:rsid w:val="4F8F47EA"/>
    <w:rsid w:val="4F903620"/>
    <w:rsid w:val="4FD7019A"/>
    <w:rsid w:val="503C44E2"/>
    <w:rsid w:val="50813916"/>
    <w:rsid w:val="508431D0"/>
    <w:rsid w:val="50C57353"/>
    <w:rsid w:val="51284B2C"/>
    <w:rsid w:val="5133250E"/>
    <w:rsid w:val="516201C1"/>
    <w:rsid w:val="516A7BF3"/>
    <w:rsid w:val="52204EF7"/>
    <w:rsid w:val="52A1794C"/>
    <w:rsid w:val="53715276"/>
    <w:rsid w:val="53AF1D0A"/>
    <w:rsid w:val="549F6159"/>
    <w:rsid w:val="557E6B77"/>
    <w:rsid w:val="55AC2C2E"/>
    <w:rsid w:val="563132ED"/>
    <w:rsid w:val="56955A19"/>
    <w:rsid w:val="56D62064"/>
    <w:rsid w:val="580124E0"/>
    <w:rsid w:val="582155D0"/>
    <w:rsid w:val="58497A3E"/>
    <w:rsid w:val="5866766D"/>
    <w:rsid w:val="588A5D18"/>
    <w:rsid w:val="596040BD"/>
    <w:rsid w:val="59BB10C5"/>
    <w:rsid w:val="59D92C42"/>
    <w:rsid w:val="59D96F35"/>
    <w:rsid w:val="5A452916"/>
    <w:rsid w:val="5AAF77D7"/>
    <w:rsid w:val="5B972A62"/>
    <w:rsid w:val="5BB16DBE"/>
    <w:rsid w:val="5BC52280"/>
    <w:rsid w:val="5C0E5A98"/>
    <w:rsid w:val="5C175518"/>
    <w:rsid w:val="5C397A2F"/>
    <w:rsid w:val="5CB626D8"/>
    <w:rsid w:val="5D3D100A"/>
    <w:rsid w:val="5DB85F34"/>
    <w:rsid w:val="5F004A09"/>
    <w:rsid w:val="5F2F4FA2"/>
    <w:rsid w:val="5F526233"/>
    <w:rsid w:val="5FC17EDC"/>
    <w:rsid w:val="5FD53A8A"/>
    <w:rsid w:val="60771CEC"/>
    <w:rsid w:val="609B00D0"/>
    <w:rsid w:val="609C7CF2"/>
    <w:rsid w:val="61912B13"/>
    <w:rsid w:val="621B0630"/>
    <w:rsid w:val="628C30D0"/>
    <w:rsid w:val="62DB3242"/>
    <w:rsid w:val="632A43EE"/>
    <w:rsid w:val="637467E2"/>
    <w:rsid w:val="63DB60F3"/>
    <w:rsid w:val="63E77DF0"/>
    <w:rsid w:val="63F52EDB"/>
    <w:rsid w:val="64020573"/>
    <w:rsid w:val="643750C5"/>
    <w:rsid w:val="648751F7"/>
    <w:rsid w:val="64DF2A53"/>
    <w:rsid w:val="65090474"/>
    <w:rsid w:val="663B4001"/>
    <w:rsid w:val="664039EF"/>
    <w:rsid w:val="6655487D"/>
    <w:rsid w:val="66710629"/>
    <w:rsid w:val="67324C66"/>
    <w:rsid w:val="674B571D"/>
    <w:rsid w:val="67C23DFD"/>
    <w:rsid w:val="67DD0FCE"/>
    <w:rsid w:val="68026538"/>
    <w:rsid w:val="68B40197"/>
    <w:rsid w:val="698F401A"/>
    <w:rsid w:val="69FF78B1"/>
    <w:rsid w:val="6A0B28D5"/>
    <w:rsid w:val="6B293F27"/>
    <w:rsid w:val="6B2C777E"/>
    <w:rsid w:val="6C3F334D"/>
    <w:rsid w:val="6CB87914"/>
    <w:rsid w:val="6CBD246A"/>
    <w:rsid w:val="6D81446F"/>
    <w:rsid w:val="6D9D0610"/>
    <w:rsid w:val="6E157878"/>
    <w:rsid w:val="6E8E32A9"/>
    <w:rsid w:val="6EC8176A"/>
    <w:rsid w:val="6FB6638D"/>
    <w:rsid w:val="706D7F9A"/>
    <w:rsid w:val="707823F8"/>
    <w:rsid w:val="70B865ED"/>
    <w:rsid w:val="7104581E"/>
    <w:rsid w:val="713559D7"/>
    <w:rsid w:val="720155C4"/>
    <w:rsid w:val="722053E4"/>
    <w:rsid w:val="72714A89"/>
    <w:rsid w:val="734B2C43"/>
    <w:rsid w:val="73985BB7"/>
    <w:rsid w:val="741D3C87"/>
    <w:rsid w:val="743655B8"/>
    <w:rsid w:val="74C27582"/>
    <w:rsid w:val="74DA0579"/>
    <w:rsid w:val="753168F4"/>
    <w:rsid w:val="756A1B35"/>
    <w:rsid w:val="757846DB"/>
    <w:rsid w:val="75800D79"/>
    <w:rsid w:val="75E5742F"/>
    <w:rsid w:val="75F423E6"/>
    <w:rsid w:val="75FF2F9C"/>
    <w:rsid w:val="767F5305"/>
    <w:rsid w:val="76B13DB7"/>
    <w:rsid w:val="77A22C45"/>
    <w:rsid w:val="77BB3BCF"/>
    <w:rsid w:val="78450AEB"/>
    <w:rsid w:val="7AA31257"/>
    <w:rsid w:val="7B6738F3"/>
    <w:rsid w:val="7B784E3E"/>
    <w:rsid w:val="7BF97347"/>
    <w:rsid w:val="7C084414"/>
    <w:rsid w:val="7C3123AE"/>
    <w:rsid w:val="7C4A32E2"/>
    <w:rsid w:val="7C7629F9"/>
    <w:rsid w:val="7C8810B1"/>
    <w:rsid w:val="7DA22583"/>
    <w:rsid w:val="7DED6109"/>
    <w:rsid w:val="7E40312D"/>
    <w:rsid w:val="7E6E38C7"/>
    <w:rsid w:val="7E79663E"/>
    <w:rsid w:val="7ED80046"/>
    <w:rsid w:val="FBD5B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643"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0"/>
    <w:qFormat/>
    <w:uiPriority w:val="0"/>
    <w:pPr>
      <w:numPr>
        <w:ilvl w:val="0"/>
        <w:numId w:val="1"/>
      </w:numPr>
      <w:spacing w:before="50" w:beforeLines="50" w:line="360" w:lineRule="auto"/>
      <w:ind w:left="0" w:firstLine="0" w:firstLineChars="0"/>
      <w:jc w:val="center"/>
      <w:outlineLvl w:val="0"/>
    </w:pPr>
    <w:rPr>
      <w:rFonts w:ascii="Times New Roman" w:hAnsi="Times New Roman" w:eastAsia="黑体"/>
      <w:b/>
      <w:bCs/>
      <w:color w:val="000000"/>
      <w:kern w:val="44"/>
      <w:sz w:val="36"/>
      <w:szCs w:val="44"/>
    </w:rPr>
  </w:style>
  <w:style w:type="paragraph" w:styleId="3">
    <w:name w:val="heading 2"/>
    <w:basedOn w:val="1"/>
    <w:next w:val="1"/>
    <w:link w:val="49"/>
    <w:semiHidden/>
    <w:unhideWhenUsed/>
    <w:qFormat/>
    <w:uiPriority w:val="0"/>
    <w:pPr>
      <w:keepNext/>
      <w:keepLines/>
      <w:numPr>
        <w:ilvl w:val="1"/>
        <w:numId w:val="1"/>
      </w:numPr>
      <w:spacing w:before="100" w:after="100" w:line="360" w:lineRule="auto"/>
      <w:ind w:left="567" w:hanging="567" w:firstLineChars="0"/>
      <w:jc w:val="left"/>
      <w:outlineLvl w:val="1"/>
    </w:pPr>
    <w:rPr>
      <w:rFonts w:ascii="Arial" w:hAnsi="Arial" w:eastAsia="宋体"/>
      <w:b/>
      <w:bCs/>
      <w:color w:val="000000"/>
      <w:sz w:val="28"/>
      <w:szCs w:val="32"/>
    </w:rPr>
  </w:style>
  <w:style w:type="paragraph" w:styleId="4">
    <w:name w:val="heading 3"/>
    <w:basedOn w:val="1"/>
    <w:next w:val="1"/>
    <w:link w:val="47"/>
    <w:semiHidden/>
    <w:unhideWhenUsed/>
    <w:qFormat/>
    <w:uiPriority w:val="0"/>
    <w:pPr>
      <w:keepNext/>
      <w:keepLines/>
      <w:numPr>
        <w:ilvl w:val="0"/>
        <w:numId w:val="2"/>
      </w:numPr>
      <w:spacing w:line="360" w:lineRule="auto"/>
      <w:ind w:left="901" w:firstLineChars="0"/>
      <w:outlineLvl w:val="2"/>
    </w:pPr>
    <w:rPr>
      <w:rFonts w:ascii="Times New Roman" w:hAnsi="Times New Roman" w:eastAsia="宋体"/>
      <w:b/>
      <w:bCs/>
      <w:szCs w:val="32"/>
    </w:rPr>
  </w:style>
  <w:style w:type="paragraph" w:styleId="5">
    <w:name w:val="heading 4"/>
    <w:basedOn w:val="1"/>
    <w:next w:val="1"/>
    <w:link w:val="51"/>
    <w:semiHidden/>
    <w:unhideWhenUsed/>
    <w:qFormat/>
    <w:uiPriority w:val="0"/>
    <w:pPr>
      <w:keepNext/>
      <w:keepLines/>
      <w:numPr>
        <w:ilvl w:val="3"/>
        <w:numId w:val="3"/>
      </w:numPr>
      <w:spacing w:before="280" w:after="290" w:line="376" w:lineRule="auto"/>
      <w:ind w:left="1984" w:hanging="708"/>
      <w:outlineLvl w:val="3"/>
    </w:pPr>
    <w:rPr>
      <w:rFonts w:ascii="Arial" w:hAnsi="Arial" w:eastAsia="黑体"/>
      <w:b/>
      <w:bCs/>
      <w:sz w:val="28"/>
      <w:szCs w:val="28"/>
    </w:rPr>
  </w:style>
  <w:style w:type="paragraph" w:styleId="6">
    <w:name w:val="heading 5"/>
    <w:basedOn w:val="1"/>
    <w:next w:val="1"/>
    <w:link w:val="52"/>
    <w:semiHidden/>
    <w:unhideWhenUsed/>
    <w:qFormat/>
    <w:uiPriority w:val="0"/>
    <w:pPr>
      <w:keepNext/>
      <w:keepLines/>
      <w:numPr>
        <w:ilvl w:val="3"/>
        <w:numId w:val="4"/>
      </w:numPr>
      <w:tabs>
        <w:tab w:val="left" w:pos="0"/>
      </w:tabs>
      <w:spacing w:before="40" w:after="40" w:line="360" w:lineRule="auto"/>
      <w:ind w:firstLine="200" w:firstLineChars="200"/>
      <w:outlineLvl w:val="4"/>
    </w:pPr>
    <w:rPr>
      <w:rFonts w:ascii="Calibri" w:hAnsi="Calibri"/>
      <w:b/>
      <w:sz w:val="24"/>
      <w:szCs w:val="28"/>
    </w:rPr>
  </w:style>
  <w:style w:type="paragraph" w:styleId="7">
    <w:name w:val="heading 6"/>
    <w:basedOn w:val="1"/>
    <w:next w:val="1"/>
    <w:link w:val="53"/>
    <w:semiHidden/>
    <w:unhideWhenUsed/>
    <w:qFormat/>
    <w:uiPriority w:val="0"/>
    <w:pPr>
      <w:keepNext/>
      <w:keepLines/>
      <w:spacing w:before="240" w:after="64" w:line="320" w:lineRule="auto"/>
      <w:outlineLvl w:val="5"/>
    </w:pPr>
    <w:rPr>
      <w:rFonts w:ascii="Cambria" w:hAnsi="Cambria"/>
      <w:b/>
      <w:bCs/>
      <w:sz w:val="24"/>
    </w:rPr>
  </w:style>
  <w:style w:type="paragraph" w:styleId="8">
    <w:name w:val="heading 7"/>
    <w:basedOn w:val="1"/>
    <w:next w:val="1"/>
    <w:link w:val="54"/>
    <w:semiHidden/>
    <w:unhideWhenUsed/>
    <w:qFormat/>
    <w:uiPriority w:val="0"/>
    <w:pPr>
      <w:keepNext/>
      <w:keepLines/>
      <w:numPr>
        <w:ilvl w:val="0"/>
        <w:numId w:val="5"/>
      </w:numPr>
      <w:tabs>
        <w:tab w:val="left" w:pos="0"/>
      </w:tabs>
      <w:spacing w:before="240" w:after="64" w:line="316" w:lineRule="auto"/>
      <w:ind w:left="846" w:hanging="420" w:firstLineChars="0"/>
      <w:jc w:val="center"/>
      <w:outlineLvl w:val="6"/>
    </w:pPr>
    <w:rPr>
      <w:rFonts w:ascii="Calibri" w:hAnsi="Calibri" w:eastAsia="黑体"/>
      <w:b/>
      <w:sz w:val="36"/>
    </w:rPr>
  </w:style>
  <w:style w:type="character" w:default="1" w:styleId="38">
    <w:name w:val="Default Paragraph Font"/>
    <w:semiHidden/>
    <w:qFormat/>
    <w:uiPriority w:val="0"/>
  </w:style>
  <w:style w:type="table" w:default="1" w:styleId="36">
    <w:name w:val="Normal Table"/>
    <w:semiHidden/>
    <w:qFormat/>
    <w:uiPriority w:val="0"/>
    <w:tblPr>
      <w:tblCellMar>
        <w:top w:w="0" w:type="dxa"/>
        <w:left w:w="108" w:type="dxa"/>
        <w:bottom w:w="0" w:type="dxa"/>
        <w:right w:w="108" w:type="dxa"/>
      </w:tblCellMar>
    </w:tblPr>
  </w:style>
  <w:style w:type="paragraph" w:styleId="9">
    <w:name w:val="toc 7"/>
    <w:basedOn w:val="1"/>
    <w:next w:val="1"/>
    <w:qFormat/>
    <w:uiPriority w:val="0"/>
    <w:pPr>
      <w:ind w:left="1260"/>
      <w:jc w:val="left"/>
    </w:pPr>
    <w:rPr>
      <w:rFonts w:ascii="Calibri" w:hAnsi="Calibri"/>
      <w:sz w:val="18"/>
      <w:szCs w:val="18"/>
    </w:rPr>
  </w:style>
  <w:style w:type="paragraph" w:styleId="10">
    <w:name w:val="caption"/>
    <w:basedOn w:val="1"/>
    <w:next w:val="1"/>
    <w:link w:val="100"/>
    <w:semiHidden/>
    <w:unhideWhenUsed/>
    <w:qFormat/>
    <w:uiPriority w:val="0"/>
    <w:rPr>
      <w:rFonts w:ascii="Arial" w:hAnsi="Arial" w:eastAsia="黑体"/>
      <w:sz w:val="20"/>
      <w:szCs w:val="20"/>
    </w:rPr>
  </w:style>
  <w:style w:type="paragraph" w:styleId="11">
    <w:name w:val="Document Map"/>
    <w:basedOn w:val="1"/>
    <w:link w:val="68"/>
    <w:qFormat/>
    <w:uiPriority w:val="0"/>
    <w:pPr>
      <w:shd w:val="clear" w:color="auto" w:fill="000080"/>
    </w:pPr>
    <w:rPr>
      <w:rFonts w:asciiTheme="minorHAnsi" w:hAnsiTheme="minorHAnsi" w:eastAsiaTheme="minorEastAsia"/>
      <w:sz w:val="24"/>
    </w:rPr>
  </w:style>
  <w:style w:type="paragraph" w:styleId="12">
    <w:name w:val="annotation text"/>
    <w:basedOn w:val="1"/>
    <w:link w:val="83"/>
    <w:qFormat/>
    <w:uiPriority w:val="0"/>
    <w:pPr>
      <w:jc w:val="left"/>
    </w:pPr>
    <w:rPr>
      <w:rFonts w:asciiTheme="minorHAnsi" w:hAnsiTheme="minorHAnsi" w:eastAsiaTheme="minorEastAsia"/>
      <w:sz w:val="24"/>
    </w:rPr>
  </w:style>
  <w:style w:type="paragraph" w:styleId="13">
    <w:name w:val="Body Text"/>
    <w:basedOn w:val="1"/>
    <w:link w:val="58"/>
    <w:qFormat/>
    <w:uiPriority w:val="0"/>
    <w:pPr>
      <w:spacing w:after="120"/>
    </w:pPr>
    <w:rPr>
      <w:rFonts w:asciiTheme="minorHAnsi" w:hAnsiTheme="minorHAnsi" w:eastAsiaTheme="minorEastAsia"/>
      <w:sz w:val="24"/>
    </w:rPr>
  </w:style>
  <w:style w:type="paragraph" w:styleId="14">
    <w:name w:val="Body Text Indent"/>
    <w:basedOn w:val="1"/>
    <w:link w:val="96"/>
    <w:qFormat/>
    <w:uiPriority w:val="0"/>
    <w:pPr>
      <w:spacing w:after="120"/>
      <w:ind w:left="420" w:leftChars="200"/>
    </w:pPr>
    <w:rPr>
      <w:rFonts w:asciiTheme="minorHAnsi" w:hAnsiTheme="minorHAnsi" w:eastAsiaTheme="minorEastAsia"/>
      <w:sz w:val="24"/>
    </w:rPr>
  </w:style>
  <w:style w:type="paragraph" w:styleId="15">
    <w:name w:val="toc 5"/>
    <w:basedOn w:val="1"/>
    <w:next w:val="1"/>
    <w:qFormat/>
    <w:uiPriority w:val="0"/>
    <w:pPr>
      <w:ind w:left="840"/>
      <w:jc w:val="left"/>
    </w:pPr>
    <w:rPr>
      <w:rFonts w:ascii="Calibri" w:hAnsi="Calibri"/>
      <w:sz w:val="18"/>
      <w:szCs w:val="18"/>
    </w:rPr>
  </w:style>
  <w:style w:type="paragraph" w:styleId="16">
    <w:name w:val="toc 3"/>
    <w:basedOn w:val="1"/>
    <w:next w:val="1"/>
    <w:qFormat/>
    <w:uiPriority w:val="0"/>
    <w:pPr>
      <w:ind w:left="420"/>
      <w:jc w:val="left"/>
    </w:pPr>
    <w:rPr>
      <w:rFonts w:ascii="Calibri" w:hAnsi="Calibri"/>
      <w:i/>
      <w:iCs/>
      <w:sz w:val="20"/>
      <w:szCs w:val="20"/>
    </w:rPr>
  </w:style>
  <w:style w:type="paragraph" w:styleId="17">
    <w:name w:val="Plain Text"/>
    <w:basedOn w:val="1"/>
    <w:link w:val="64"/>
    <w:qFormat/>
    <w:uiPriority w:val="0"/>
    <w:rPr>
      <w:rFonts w:ascii="宋体" w:hAnsi="Courier New" w:cs="Courier New" w:eastAsiaTheme="minorEastAsia"/>
      <w:szCs w:val="21"/>
    </w:rPr>
  </w:style>
  <w:style w:type="paragraph" w:styleId="18">
    <w:name w:val="toc 8"/>
    <w:basedOn w:val="1"/>
    <w:next w:val="1"/>
    <w:qFormat/>
    <w:uiPriority w:val="0"/>
    <w:pPr>
      <w:ind w:left="1470"/>
      <w:jc w:val="left"/>
    </w:pPr>
    <w:rPr>
      <w:rFonts w:ascii="Calibri" w:hAnsi="Calibri"/>
      <w:sz w:val="18"/>
      <w:szCs w:val="18"/>
    </w:rPr>
  </w:style>
  <w:style w:type="paragraph" w:styleId="19">
    <w:name w:val="Date"/>
    <w:basedOn w:val="1"/>
    <w:next w:val="1"/>
    <w:link w:val="79"/>
    <w:qFormat/>
    <w:uiPriority w:val="0"/>
    <w:pPr>
      <w:ind w:left="100" w:leftChars="2500"/>
    </w:pPr>
    <w:rPr>
      <w:rFonts w:asciiTheme="minorHAnsi" w:hAnsiTheme="minorHAnsi" w:eastAsiaTheme="minorEastAsia"/>
      <w:sz w:val="24"/>
    </w:rPr>
  </w:style>
  <w:style w:type="paragraph" w:styleId="20">
    <w:name w:val="Body Text Indent 2"/>
    <w:basedOn w:val="1"/>
    <w:link w:val="66"/>
    <w:qFormat/>
    <w:uiPriority w:val="0"/>
    <w:pPr>
      <w:spacing w:after="120" w:line="480" w:lineRule="auto"/>
      <w:ind w:left="420" w:leftChars="200"/>
    </w:pPr>
    <w:rPr>
      <w:rFonts w:asciiTheme="minorHAnsi" w:hAnsiTheme="minorHAnsi" w:eastAsiaTheme="minorEastAsia"/>
      <w:sz w:val="24"/>
    </w:rPr>
  </w:style>
  <w:style w:type="paragraph" w:styleId="21">
    <w:name w:val="Balloon Text"/>
    <w:basedOn w:val="1"/>
    <w:link w:val="76"/>
    <w:qFormat/>
    <w:uiPriority w:val="0"/>
    <w:rPr>
      <w:rFonts w:asciiTheme="minorHAnsi" w:hAnsiTheme="minorHAnsi" w:eastAsiaTheme="minorEastAsia"/>
      <w:sz w:val="18"/>
      <w:szCs w:val="18"/>
    </w:rPr>
  </w:style>
  <w:style w:type="paragraph" w:styleId="22">
    <w:name w:val="footer"/>
    <w:basedOn w:val="1"/>
    <w:link w:val="60"/>
    <w:qFormat/>
    <w:uiPriority w:val="0"/>
    <w:pPr>
      <w:tabs>
        <w:tab w:val="center" w:pos="4153"/>
        <w:tab w:val="right" w:pos="8306"/>
      </w:tabs>
      <w:snapToGrid w:val="0"/>
      <w:jc w:val="left"/>
    </w:pPr>
    <w:rPr>
      <w:rFonts w:asciiTheme="minorHAnsi" w:hAnsiTheme="minorHAnsi" w:eastAsiaTheme="minorEastAsia"/>
      <w:sz w:val="18"/>
      <w:szCs w:val="18"/>
    </w:rPr>
  </w:style>
  <w:style w:type="paragraph" w:styleId="23">
    <w:name w:val="header"/>
    <w:basedOn w:val="1"/>
    <w:link w:val="94"/>
    <w:qFormat/>
    <w:uiPriority w:val="0"/>
    <w:pPr>
      <w:pBdr>
        <w:bottom w:val="single" w:color="auto" w:sz="6" w:space="1"/>
      </w:pBdr>
      <w:tabs>
        <w:tab w:val="center" w:pos="4153"/>
        <w:tab w:val="right" w:pos="8306"/>
      </w:tabs>
      <w:snapToGrid w:val="0"/>
      <w:jc w:val="center"/>
    </w:pPr>
    <w:rPr>
      <w:rFonts w:asciiTheme="minorHAnsi" w:hAnsiTheme="minorHAnsi" w:eastAsiaTheme="minorEastAsia"/>
      <w:sz w:val="18"/>
      <w:szCs w:val="18"/>
    </w:rPr>
  </w:style>
  <w:style w:type="paragraph" w:styleId="24">
    <w:name w:val="toc 1"/>
    <w:basedOn w:val="1"/>
    <w:next w:val="1"/>
    <w:qFormat/>
    <w:uiPriority w:val="0"/>
    <w:pPr>
      <w:spacing w:before="120" w:after="120"/>
      <w:jc w:val="left"/>
    </w:pPr>
    <w:rPr>
      <w:rFonts w:ascii="Calibri" w:hAnsi="Calibri"/>
      <w:b/>
      <w:bCs/>
      <w:caps/>
      <w:sz w:val="20"/>
      <w:szCs w:val="20"/>
    </w:rPr>
  </w:style>
  <w:style w:type="paragraph" w:styleId="25">
    <w:name w:val="toc 4"/>
    <w:basedOn w:val="1"/>
    <w:next w:val="1"/>
    <w:qFormat/>
    <w:uiPriority w:val="0"/>
    <w:pPr>
      <w:ind w:left="630"/>
      <w:jc w:val="left"/>
    </w:pPr>
    <w:rPr>
      <w:rFonts w:ascii="Calibri" w:hAnsi="Calibri"/>
      <w:sz w:val="18"/>
      <w:szCs w:val="18"/>
    </w:rPr>
  </w:style>
  <w:style w:type="paragraph" w:styleId="26">
    <w:name w:val="Subtitle"/>
    <w:basedOn w:val="1"/>
    <w:next w:val="1"/>
    <w:link w:val="71"/>
    <w:qFormat/>
    <w:uiPriority w:val="0"/>
    <w:pPr>
      <w:spacing w:before="240" w:after="60" w:line="312" w:lineRule="auto"/>
      <w:ind w:firstLine="200" w:firstLineChars="200"/>
      <w:jc w:val="center"/>
      <w:outlineLvl w:val="1"/>
    </w:pPr>
    <w:rPr>
      <w:rFonts w:ascii="Cambria" w:hAnsi="Cambria" w:eastAsiaTheme="minorEastAsia" w:cstheme="minorBidi"/>
      <w:b/>
      <w:bCs/>
      <w:kern w:val="28"/>
      <w:sz w:val="32"/>
      <w:szCs w:val="32"/>
    </w:rPr>
  </w:style>
  <w:style w:type="paragraph" w:styleId="27">
    <w:name w:val="footnote text"/>
    <w:basedOn w:val="1"/>
    <w:link w:val="62"/>
    <w:qFormat/>
    <w:uiPriority w:val="0"/>
    <w:pPr>
      <w:snapToGrid w:val="0"/>
      <w:jc w:val="left"/>
    </w:pPr>
    <w:rPr>
      <w:rFonts w:asciiTheme="minorHAnsi" w:hAnsiTheme="minorHAnsi" w:eastAsiaTheme="minorEastAsia"/>
      <w:sz w:val="18"/>
      <w:szCs w:val="18"/>
    </w:rPr>
  </w:style>
  <w:style w:type="paragraph" w:styleId="28">
    <w:name w:val="toc 6"/>
    <w:basedOn w:val="1"/>
    <w:next w:val="1"/>
    <w:qFormat/>
    <w:uiPriority w:val="0"/>
    <w:pPr>
      <w:ind w:left="1050"/>
      <w:jc w:val="left"/>
    </w:pPr>
    <w:rPr>
      <w:rFonts w:ascii="Calibri" w:hAnsi="Calibri"/>
      <w:sz w:val="18"/>
      <w:szCs w:val="18"/>
    </w:rPr>
  </w:style>
  <w:style w:type="paragraph" w:styleId="29">
    <w:name w:val="table of figures"/>
    <w:basedOn w:val="1"/>
    <w:next w:val="1"/>
    <w:qFormat/>
    <w:uiPriority w:val="0"/>
    <w:pPr>
      <w:spacing w:line="360" w:lineRule="auto"/>
      <w:ind w:left="200" w:leftChars="200" w:hanging="200" w:hangingChars="200"/>
    </w:pPr>
    <w:rPr>
      <w:rFonts w:ascii="Calibri" w:hAnsi="Calibri"/>
      <w:sz w:val="24"/>
    </w:rPr>
  </w:style>
  <w:style w:type="paragraph" w:styleId="30">
    <w:name w:val="toc 2"/>
    <w:basedOn w:val="1"/>
    <w:next w:val="1"/>
    <w:qFormat/>
    <w:uiPriority w:val="0"/>
    <w:pPr>
      <w:ind w:left="210"/>
      <w:jc w:val="left"/>
    </w:pPr>
    <w:rPr>
      <w:rFonts w:ascii="Calibri" w:hAnsi="Calibri"/>
      <w:smallCaps/>
      <w:sz w:val="20"/>
      <w:szCs w:val="20"/>
    </w:rPr>
  </w:style>
  <w:style w:type="paragraph" w:styleId="31">
    <w:name w:val="toc 9"/>
    <w:basedOn w:val="1"/>
    <w:next w:val="1"/>
    <w:qFormat/>
    <w:uiPriority w:val="0"/>
    <w:pPr>
      <w:ind w:left="1680"/>
      <w:jc w:val="left"/>
    </w:pPr>
    <w:rPr>
      <w:rFonts w:ascii="Calibri" w:hAnsi="Calibri"/>
      <w:sz w:val="18"/>
      <w:szCs w:val="18"/>
    </w:rPr>
  </w:style>
  <w:style w:type="paragraph" w:styleId="32">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3">
    <w:name w:val="Title"/>
    <w:basedOn w:val="1"/>
    <w:next w:val="1"/>
    <w:link w:val="86"/>
    <w:qFormat/>
    <w:uiPriority w:val="0"/>
    <w:pPr>
      <w:spacing w:before="240" w:after="60"/>
      <w:jc w:val="center"/>
      <w:outlineLvl w:val="0"/>
    </w:pPr>
    <w:rPr>
      <w:rFonts w:ascii="Cambria" w:hAnsi="Cambria" w:eastAsiaTheme="minorEastAsia"/>
      <w:b/>
      <w:bCs/>
      <w:sz w:val="32"/>
      <w:szCs w:val="32"/>
    </w:rPr>
  </w:style>
  <w:style w:type="paragraph" w:styleId="34">
    <w:name w:val="annotation subject"/>
    <w:basedOn w:val="12"/>
    <w:next w:val="12"/>
    <w:link w:val="91"/>
    <w:qFormat/>
    <w:uiPriority w:val="0"/>
    <w:rPr>
      <w:b/>
      <w:bCs/>
    </w:rPr>
  </w:style>
  <w:style w:type="paragraph" w:styleId="35">
    <w:name w:val="Body Text First Indent 2"/>
    <w:basedOn w:val="14"/>
    <w:link w:val="129"/>
    <w:qFormat/>
    <w:uiPriority w:val="0"/>
    <w:pPr>
      <w:spacing w:after="0" w:line="360" w:lineRule="auto"/>
      <w:ind w:left="0" w:leftChars="0"/>
      <w:jc w:val="center"/>
    </w:pPr>
    <w:rPr>
      <w:rFonts w:ascii="Arial" w:hAnsi="Arial"/>
      <w:b/>
    </w:rPr>
  </w:style>
  <w:style w:type="table" w:styleId="37">
    <w:name w:val="Table Grid"/>
    <w:basedOn w:val="36"/>
    <w:qFormat/>
    <w:uiPriority w:val="0"/>
    <w:pPr>
      <w:widowControl w:val="0"/>
      <w:jc w:val="both"/>
    </w:pPr>
    <w:rPr>
      <w:rFonts w:ascii="Calibri" w:hAnsi="Calibri"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qFormat/>
    <w:uiPriority w:val="0"/>
    <w:rPr>
      <w:rFonts w:cs="Times New Roman"/>
      <w:b/>
      <w:bCs/>
    </w:rPr>
  </w:style>
  <w:style w:type="character" w:styleId="40">
    <w:name w:val="page number"/>
    <w:qFormat/>
    <w:uiPriority w:val="0"/>
    <w:rPr>
      <w:rFonts w:cs="Times New Roman"/>
    </w:rPr>
  </w:style>
  <w:style w:type="character" w:styleId="41">
    <w:name w:val="FollowedHyperlink"/>
    <w:qFormat/>
    <w:uiPriority w:val="0"/>
    <w:rPr>
      <w:rFonts w:cs="Times New Roman"/>
      <w:color w:val="800080"/>
      <w:u w:val="single"/>
    </w:rPr>
  </w:style>
  <w:style w:type="character" w:styleId="42">
    <w:name w:val="Emphasis"/>
    <w:qFormat/>
    <w:uiPriority w:val="0"/>
    <w:rPr>
      <w:rFonts w:ascii="Arial" w:hAnsi="Arial" w:cs="Arial"/>
      <w:color w:val="CC0000"/>
      <w:sz w:val="24"/>
      <w:szCs w:val="24"/>
      <w:bdr w:val="single" w:color="FFFFFF" w:sz="6" w:space="0"/>
      <w:shd w:val="clear" w:color="auto" w:fill="FFFFFF"/>
    </w:rPr>
  </w:style>
  <w:style w:type="character" w:styleId="43">
    <w:name w:val="Hyperlink"/>
    <w:qFormat/>
    <w:uiPriority w:val="0"/>
    <w:rPr>
      <w:rFonts w:cs="Times New Roman"/>
      <w:color w:val="136EC2"/>
      <w:u w:val="single"/>
    </w:rPr>
  </w:style>
  <w:style w:type="character" w:styleId="44">
    <w:name w:val="annotation reference"/>
    <w:qFormat/>
    <w:uiPriority w:val="0"/>
    <w:rPr>
      <w:rFonts w:cs="Times New Roman"/>
      <w:sz w:val="21"/>
      <w:szCs w:val="21"/>
    </w:rPr>
  </w:style>
  <w:style w:type="character" w:styleId="45">
    <w:name w:val="HTML Cite"/>
    <w:qFormat/>
    <w:uiPriority w:val="0"/>
    <w:rPr>
      <w:color w:val="008000"/>
    </w:rPr>
  </w:style>
  <w:style w:type="character" w:styleId="46">
    <w:name w:val="footnote reference"/>
    <w:qFormat/>
    <w:uiPriority w:val="0"/>
    <w:rPr>
      <w:rFonts w:cs="Times New Roman"/>
      <w:vertAlign w:val="superscript"/>
    </w:rPr>
  </w:style>
  <w:style w:type="character" w:customStyle="1" w:styleId="47">
    <w:name w:val="标题 3 Char"/>
    <w:basedOn w:val="38"/>
    <w:link w:val="4"/>
    <w:qFormat/>
    <w:uiPriority w:val="0"/>
    <w:rPr>
      <w:rFonts w:ascii="Times New Roman" w:hAnsi="Times New Roman" w:eastAsia="宋体" w:cs="Times New Roman"/>
      <w:b/>
      <w:bCs/>
      <w:sz w:val="24"/>
      <w:szCs w:val="32"/>
    </w:rPr>
  </w:style>
  <w:style w:type="paragraph" w:customStyle="1" w:styleId="48">
    <w:name w:val="样式2"/>
    <w:basedOn w:val="1"/>
    <w:qFormat/>
    <w:uiPriority w:val="99"/>
    <w:pPr>
      <w:shd w:val="clear" w:color="auto" w:fill="FFFFFF"/>
      <w:spacing w:before="100" w:beforeAutospacing="1" w:after="100" w:afterAutospacing="1"/>
      <w:ind w:left="562"/>
      <w:jc w:val="center"/>
    </w:pPr>
    <w:rPr>
      <w:rFonts w:ascii="宋体" w:hAnsi="宋体" w:eastAsia="宋体" w:cs="宋体"/>
      <w:b/>
      <w:bCs/>
    </w:rPr>
  </w:style>
  <w:style w:type="character" w:customStyle="1" w:styleId="49">
    <w:name w:val="标题 2 Char"/>
    <w:basedOn w:val="38"/>
    <w:link w:val="3"/>
    <w:qFormat/>
    <w:uiPriority w:val="0"/>
    <w:rPr>
      <w:rFonts w:ascii="Arial" w:hAnsi="Arial" w:eastAsia="宋体" w:cs="Times New Roman"/>
      <w:b/>
      <w:bCs/>
      <w:color w:val="000000"/>
      <w:sz w:val="28"/>
      <w:szCs w:val="32"/>
    </w:rPr>
  </w:style>
  <w:style w:type="character" w:customStyle="1" w:styleId="50">
    <w:name w:val="标题 1 Char"/>
    <w:basedOn w:val="38"/>
    <w:link w:val="2"/>
    <w:qFormat/>
    <w:uiPriority w:val="0"/>
    <w:rPr>
      <w:rFonts w:ascii="Times New Roman" w:hAnsi="Times New Roman" w:eastAsia="黑体" w:cs="Times New Roman"/>
      <w:b/>
      <w:bCs/>
      <w:color w:val="000000"/>
      <w:kern w:val="44"/>
      <w:sz w:val="36"/>
      <w:szCs w:val="44"/>
    </w:rPr>
  </w:style>
  <w:style w:type="character" w:customStyle="1" w:styleId="51">
    <w:name w:val="标题 4 Char"/>
    <w:basedOn w:val="38"/>
    <w:link w:val="5"/>
    <w:qFormat/>
    <w:uiPriority w:val="0"/>
    <w:rPr>
      <w:rFonts w:ascii="Arial" w:hAnsi="Arial" w:eastAsia="黑体" w:cs="Times New Roman"/>
      <w:b/>
      <w:bCs/>
      <w:sz w:val="28"/>
      <w:szCs w:val="28"/>
    </w:rPr>
  </w:style>
  <w:style w:type="character" w:customStyle="1" w:styleId="52">
    <w:name w:val="标题 5 Char"/>
    <w:basedOn w:val="38"/>
    <w:link w:val="6"/>
    <w:qFormat/>
    <w:uiPriority w:val="0"/>
    <w:rPr>
      <w:rFonts w:ascii="Calibri" w:hAnsi="Calibri" w:eastAsia="宋体" w:cs="Times New Roman"/>
      <w:b/>
      <w:sz w:val="24"/>
      <w:szCs w:val="28"/>
    </w:rPr>
  </w:style>
  <w:style w:type="character" w:customStyle="1" w:styleId="53">
    <w:name w:val="标题 6 Char"/>
    <w:basedOn w:val="38"/>
    <w:link w:val="7"/>
    <w:qFormat/>
    <w:uiPriority w:val="0"/>
    <w:rPr>
      <w:rFonts w:ascii="Cambria" w:hAnsi="Cambria" w:eastAsia="宋体" w:cs="Times New Roman"/>
      <w:b/>
      <w:bCs/>
      <w:sz w:val="24"/>
      <w:szCs w:val="24"/>
    </w:rPr>
  </w:style>
  <w:style w:type="character" w:customStyle="1" w:styleId="54">
    <w:name w:val="标题 7 Char"/>
    <w:basedOn w:val="38"/>
    <w:link w:val="8"/>
    <w:qFormat/>
    <w:uiPriority w:val="0"/>
    <w:rPr>
      <w:rFonts w:ascii="Calibri" w:hAnsi="Calibri" w:eastAsia="黑体" w:cs="Times New Roman"/>
      <w:b/>
      <w:sz w:val="36"/>
      <w:szCs w:val="24"/>
    </w:rPr>
  </w:style>
  <w:style w:type="character" w:customStyle="1" w:styleId="55">
    <w:name w:val="Char Char3"/>
    <w:qFormat/>
    <w:locked/>
    <w:uiPriority w:val="0"/>
    <w:rPr>
      <w:rFonts w:ascii="Arial" w:hAnsi="Arial" w:eastAsia="黑体"/>
      <w:b/>
      <w:bCs/>
      <w:kern w:val="2"/>
      <w:sz w:val="32"/>
      <w:szCs w:val="32"/>
      <w:lang w:val="en-US" w:eastAsia="zh-CN" w:bidi="ar-SA"/>
    </w:rPr>
  </w:style>
  <w:style w:type="character" w:customStyle="1" w:styleId="56">
    <w:name w:val="副标题 Char1"/>
    <w:qFormat/>
    <w:uiPriority w:val="0"/>
    <w:rPr>
      <w:rFonts w:ascii="Cambria" w:hAnsi="Cambria" w:cs="Times New Roman"/>
      <w:b/>
      <w:bCs/>
      <w:kern w:val="28"/>
      <w:sz w:val="32"/>
      <w:szCs w:val="32"/>
    </w:rPr>
  </w:style>
  <w:style w:type="character" w:customStyle="1" w:styleId="57">
    <w:name w:val="正文文本 Char"/>
    <w:link w:val="13"/>
    <w:qFormat/>
    <w:locked/>
    <w:uiPriority w:val="0"/>
    <w:rPr>
      <w:rFonts w:cs="Times New Roman"/>
      <w:sz w:val="24"/>
      <w:szCs w:val="24"/>
    </w:rPr>
  </w:style>
  <w:style w:type="character" w:customStyle="1" w:styleId="58">
    <w:name w:val="正文文本 Char1"/>
    <w:basedOn w:val="38"/>
    <w:link w:val="13"/>
    <w:semiHidden/>
    <w:qFormat/>
    <w:uiPriority w:val="99"/>
    <w:rPr>
      <w:rFonts w:ascii="Times New Roman" w:hAnsi="Times New Roman" w:eastAsia="宋体" w:cs="Times New Roman"/>
      <w:szCs w:val="24"/>
    </w:rPr>
  </w:style>
  <w:style w:type="character" w:customStyle="1" w:styleId="59">
    <w:name w:val="页脚 Char"/>
    <w:link w:val="22"/>
    <w:qFormat/>
    <w:locked/>
    <w:uiPriority w:val="99"/>
    <w:rPr>
      <w:rFonts w:cs="Times New Roman"/>
      <w:sz w:val="18"/>
      <w:szCs w:val="18"/>
    </w:rPr>
  </w:style>
  <w:style w:type="character" w:customStyle="1" w:styleId="60">
    <w:name w:val="页脚 Char1"/>
    <w:basedOn w:val="38"/>
    <w:link w:val="22"/>
    <w:semiHidden/>
    <w:qFormat/>
    <w:uiPriority w:val="99"/>
    <w:rPr>
      <w:rFonts w:ascii="Times New Roman" w:hAnsi="Times New Roman" w:eastAsia="宋体" w:cs="Times New Roman"/>
      <w:sz w:val="18"/>
      <w:szCs w:val="18"/>
    </w:rPr>
  </w:style>
  <w:style w:type="character" w:customStyle="1" w:styleId="61">
    <w:name w:val="脚注文本 Char"/>
    <w:link w:val="27"/>
    <w:qFormat/>
    <w:locked/>
    <w:uiPriority w:val="99"/>
    <w:rPr>
      <w:rFonts w:cs="Times New Roman"/>
      <w:sz w:val="18"/>
      <w:szCs w:val="18"/>
    </w:rPr>
  </w:style>
  <w:style w:type="character" w:customStyle="1" w:styleId="62">
    <w:name w:val="脚注文本 Char1"/>
    <w:basedOn w:val="38"/>
    <w:link w:val="27"/>
    <w:semiHidden/>
    <w:qFormat/>
    <w:uiPriority w:val="99"/>
    <w:rPr>
      <w:rFonts w:ascii="Times New Roman" w:hAnsi="Times New Roman" w:eastAsia="宋体" w:cs="Times New Roman"/>
      <w:sz w:val="18"/>
      <w:szCs w:val="18"/>
    </w:rPr>
  </w:style>
  <w:style w:type="character" w:customStyle="1" w:styleId="63">
    <w:name w:val="纯文本 Char"/>
    <w:link w:val="17"/>
    <w:qFormat/>
    <w:locked/>
    <w:uiPriority w:val="99"/>
    <w:rPr>
      <w:rFonts w:ascii="宋体" w:hAnsi="Courier New" w:cs="Courier New"/>
      <w:szCs w:val="21"/>
    </w:rPr>
  </w:style>
  <w:style w:type="character" w:customStyle="1" w:styleId="64">
    <w:name w:val="纯文本 Char1"/>
    <w:basedOn w:val="38"/>
    <w:link w:val="17"/>
    <w:semiHidden/>
    <w:qFormat/>
    <w:uiPriority w:val="99"/>
    <w:rPr>
      <w:rFonts w:ascii="宋体" w:hAnsi="Courier New" w:eastAsia="宋体" w:cs="Courier New"/>
      <w:szCs w:val="21"/>
    </w:rPr>
  </w:style>
  <w:style w:type="character" w:customStyle="1" w:styleId="65">
    <w:name w:val="正文文本缩进 2 Char"/>
    <w:link w:val="20"/>
    <w:qFormat/>
    <w:locked/>
    <w:uiPriority w:val="99"/>
    <w:rPr>
      <w:rFonts w:cs="Times New Roman"/>
      <w:sz w:val="24"/>
      <w:szCs w:val="24"/>
    </w:rPr>
  </w:style>
  <w:style w:type="character" w:customStyle="1" w:styleId="66">
    <w:name w:val="正文文本缩进 2 Char1"/>
    <w:basedOn w:val="38"/>
    <w:link w:val="20"/>
    <w:semiHidden/>
    <w:qFormat/>
    <w:uiPriority w:val="99"/>
    <w:rPr>
      <w:rFonts w:ascii="Times New Roman" w:hAnsi="Times New Roman" w:eastAsia="宋体" w:cs="Times New Roman"/>
      <w:szCs w:val="24"/>
    </w:rPr>
  </w:style>
  <w:style w:type="character" w:customStyle="1" w:styleId="67">
    <w:name w:val="文档结构图 Char"/>
    <w:link w:val="11"/>
    <w:semiHidden/>
    <w:qFormat/>
    <w:locked/>
    <w:uiPriority w:val="0"/>
    <w:rPr>
      <w:rFonts w:cs="Times New Roman"/>
      <w:sz w:val="24"/>
      <w:szCs w:val="24"/>
      <w:shd w:val="clear" w:color="auto" w:fill="000080"/>
    </w:rPr>
  </w:style>
  <w:style w:type="character" w:customStyle="1" w:styleId="68">
    <w:name w:val="文档结构图 Char1"/>
    <w:basedOn w:val="38"/>
    <w:link w:val="11"/>
    <w:semiHidden/>
    <w:qFormat/>
    <w:uiPriority w:val="99"/>
    <w:rPr>
      <w:rFonts w:ascii="宋体" w:hAnsi="Times New Roman" w:eastAsia="宋体" w:cs="Times New Roman"/>
      <w:sz w:val="18"/>
      <w:szCs w:val="18"/>
    </w:rPr>
  </w:style>
  <w:style w:type="character" w:customStyle="1" w:styleId="69">
    <w:name w:val="Footer Char"/>
    <w:qFormat/>
    <w:locked/>
    <w:uiPriority w:val="0"/>
    <w:rPr>
      <w:rFonts w:ascii="Calibri" w:hAnsi="Calibri" w:eastAsia="宋体"/>
      <w:sz w:val="18"/>
    </w:rPr>
  </w:style>
  <w:style w:type="character" w:customStyle="1" w:styleId="70">
    <w:name w:val="副标题 Char"/>
    <w:link w:val="26"/>
    <w:qFormat/>
    <w:locked/>
    <w:uiPriority w:val="0"/>
    <w:rPr>
      <w:rFonts w:ascii="Cambria" w:hAnsi="Cambria"/>
      <w:b/>
      <w:bCs/>
      <w:kern w:val="28"/>
      <w:sz w:val="32"/>
      <w:szCs w:val="32"/>
    </w:rPr>
  </w:style>
  <w:style w:type="character" w:customStyle="1" w:styleId="71">
    <w:name w:val="副标题 Char2"/>
    <w:basedOn w:val="38"/>
    <w:link w:val="26"/>
    <w:qFormat/>
    <w:uiPriority w:val="11"/>
    <w:rPr>
      <w:rFonts w:eastAsia="宋体" w:asciiTheme="majorHAnsi" w:hAnsiTheme="majorHAnsi" w:cstheme="majorBidi"/>
      <w:b/>
      <w:bCs/>
      <w:kern w:val="28"/>
      <w:sz w:val="32"/>
      <w:szCs w:val="32"/>
    </w:rPr>
  </w:style>
  <w:style w:type="character" w:customStyle="1" w:styleId="72">
    <w:name w:val="page-cur"/>
    <w:qFormat/>
    <w:uiPriority w:val="0"/>
    <w:rPr>
      <w:b/>
      <w:color w:val="333333"/>
      <w:bdr w:val="single" w:color="E5E5E5" w:sz="6" w:space="0"/>
      <w:shd w:val="clear" w:color="auto" w:fill="F2F2F2"/>
    </w:rPr>
  </w:style>
  <w:style w:type="character" w:customStyle="1" w:styleId="73">
    <w:name w:val="Char Char4"/>
    <w:qFormat/>
    <w:uiPriority w:val="99"/>
    <w:rPr>
      <w:rFonts w:ascii="Arial" w:hAnsi="Arial" w:eastAsia="黑体" w:cs="Times New Roman"/>
      <w:b/>
      <w:bCs/>
      <w:kern w:val="2"/>
      <w:sz w:val="32"/>
      <w:szCs w:val="32"/>
      <w:lang w:val="en-US" w:eastAsia="zh-CN" w:bidi="ar-SA"/>
    </w:rPr>
  </w:style>
  <w:style w:type="character" w:customStyle="1" w:styleId="74">
    <w:name w:val="font11"/>
    <w:qFormat/>
    <w:uiPriority w:val="0"/>
    <w:rPr>
      <w:rFonts w:hint="eastAsia" w:ascii="宋体" w:hAnsi="宋体" w:eastAsia="宋体" w:cs="宋体"/>
      <w:color w:val="000000"/>
      <w:sz w:val="24"/>
      <w:szCs w:val="24"/>
      <w:u w:val="none"/>
    </w:rPr>
  </w:style>
  <w:style w:type="character" w:customStyle="1" w:styleId="75">
    <w:name w:val="批注框文本 Char"/>
    <w:link w:val="21"/>
    <w:qFormat/>
    <w:locked/>
    <w:uiPriority w:val="99"/>
    <w:rPr>
      <w:rFonts w:cs="Times New Roman"/>
      <w:sz w:val="18"/>
      <w:szCs w:val="18"/>
    </w:rPr>
  </w:style>
  <w:style w:type="character" w:customStyle="1" w:styleId="76">
    <w:name w:val="批注框文本 Char1"/>
    <w:basedOn w:val="38"/>
    <w:link w:val="21"/>
    <w:semiHidden/>
    <w:qFormat/>
    <w:uiPriority w:val="99"/>
    <w:rPr>
      <w:rFonts w:ascii="Times New Roman" w:hAnsi="Times New Roman" w:eastAsia="宋体" w:cs="Times New Roman"/>
      <w:sz w:val="18"/>
      <w:szCs w:val="18"/>
    </w:rPr>
  </w:style>
  <w:style w:type="character" w:customStyle="1" w:styleId="77">
    <w:name w:val="Char Char2"/>
    <w:qFormat/>
    <w:locked/>
    <w:uiPriority w:val="0"/>
    <w:rPr>
      <w:rFonts w:eastAsia="宋体"/>
      <w:b/>
      <w:bCs/>
      <w:kern w:val="2"/>
      <w:sz w:val="32"/>
      <w:szCs w:val="32"/>
      <w:lang w:val="en-US" w:eastAsia="zh-CN" w:bidi="ar-SA"/>
    </w:rPr>
  </w:style>
  <w:style w:type="character" w:customStyle="1" w:styleId="78">
    <w:name w:val="日期 Char"/>
    <w:link w:val="19"/>
    <w:qFormat/>
    <w:locked/>
    <w:uiPriority w:val="0"/>
    <w:rPr>
      <w:rFonts w:cs="Times New Roman"/>
      <w:sz w:val="24"/>
      <w:szCs w:val="24"/>
    </w:rPr>
  </w:style>
  <w:style w:type="character" w:customStyle="1" w:styleId="79">
    <w:name w:val="日期 Char1"/>
    <w:basedOn w:val="38"/>
    <w:link w:val="19"/>
    <w:semiHidden/>
    <w:qFormat/>
    <w:uiPriority w:val="99"/>
    <w:rPr>
      <w:rFonts w:ascii="Times New Roman" w:hAnsi="Times New Roman" w:eastAsia="宋体" w:cs="Times New Roman"/>
      <w:szCs w:val="24"/>
    </w:rPr>
  </w:style>
  <w:style w:type="character" w:customStyle="1" w:styleId="80">
    <w:name w:val="List Paragraph Char"/>
    <w:link w:val="81"/>
    <w:qFormat/>
    <w:locked/>
    <w:uiPriority w:val="0"/>
    <w:rPr>
      <w:szCs w:val="24"/>
    </w:rPr>
  </w:style>
  <w:style w:type="paragraph" w:customStyle="1" w:styleId="81">
    <w:name w:val="列出段落1"/>
    <w:basedOn w:val="1"/>
    <w:link w:val="80"/>
    <w:qFormat/>
    <w:uiPriority w:val="0"/>
    <w:pPr>
      <w:ind w:firstLine="420" w:firstLineChars="200"/>
    </w:pPr>
    <w:rPr>
      <w:rFonts w:asciiTheme="minorHAnsi" w:hAnsiTheme="minorHAnsi" w:eastAsiaTheme="minorEastAsia" w:cstheme="minorBidi"/>
    </w:rPr>
  </w:style>
  <w:style w:type="character" w:customStyle="1" w:styleId="82">
    <w:name w:val="批注文字 Char"/>
    <w:link w:val="12"/>
    <w:qFormat/>
    <w:locked/>
    <w:uiPriority w:val="0"/>
    <w:rPr>
      <w:rFonts w:cs="Times New Roman"/>
      <w:sz w:val="24"/>
      <w:szCs w:val="24"/>
    </w:rPr>
  </w:style>
  <w:style w:type="character" w:customStyle="1" w:styleId="83">
    <w:name w:val="批注文字 Char1"/>
    <w:basedOn w:val="38"/>
    <w:link w:val="12"/>
    <w:semiHidden/>
    <w:qFormat/>
    <w:uiPriority w:val="99"/>
    <w:rPr>
      <w:rFonts w:ascii="Times New Roman" w:hAnsi="Times New Roman" w:eastAsia="宋体" w:cs="Times New Roman"/>
      <w:szCs w:val="24"/>
    </w:rPr>
  </w:style>
  <w:style w:type="character" w:customStyle="1" w:styleId="84">
    <w:name w:val="Header Char"/>
    <w:qFormat/>
    <w:locked/>
    <w:uiPriority w:val="99"/>
    <w:rPr>
      <w:rFonts w:cs="Times New Roman"/>
      <w:kern w:val="2"/>
      <w:sz w:val="18"/>
      <w:szCs w:val="18"/>
    </w:rPr>
  </w:style>
  <w:style w:type="character" w:customStyle="1" w:styleId="85">
    <w:name w:val="标题 Char"/>
    <w:link w:val="33"/>
    <w:qFormat/>
    <w:locked/>
    <w:uiPriority w:val="99"/>
    <w:rPr>
      <w:rFonts w:ascii="Cambria" w:hAnsi="Cambria" w:cs="Times New Roman"/>
      <w:b/>
      <w:bCs/>
      <w:sz w:val="32"/>
      <w:szCs w:val="32"/>
    </w:rPr>
  </w:style>
  <w:style w:type="character" w:customStyle="1" w:styleId="86">
    <w:name w:val="标题 Char1"/>
    <w:basedOn w:val="38"/>
    <w:link w:val="33"/>
    <w:qFormat/>
    <w:uiPriority w:val="10"/>
    <w:rPr>
      <w:rFonts w:eastAsia="宋体" w:asciiTheme="majorHAnsi" w:hAnsiTheme="majorHAnsi" w:cstheme="majorBidi"/>
      <w:b/>
      <w:bCs/>
      <w:sz w:val="32"/>
      <w:szCs w:val="32"/>
    </w:rPr>
  </w:style>
  <w:style w:type="character" w:customStyle="1" w:styleId="87">
    <w:name w:val="列出段落 Char"/>
    <w:link w:val="88"/>
    <w:qFormat/>
    <w:uiPriority w:val="0"/>
    <w:rPr>
      <w:rFonts w:ascii="Calibri" w:hAnsi="Calibri" w:eastAsia="宋体"/>
    </w:rPr>
  </w:style>
  <w:style w:type="paragraph" w:styleId="88">
    <w:name w:val="List Paragraph"/>
    <w:basedOn w:val="1"/>
    <w:link w:val="87"/>
    <w:qFormat/>
    <w:uiPriority w:val="0"/>
    <w:pPr>
      <w:ind w:firstLine="420" w:firstLineChars="200"/>
    </w:pPr>
    <w:rPr>
      <w:rFonts w:ascii="Calibri" w:hAnsi="Calibri" w:cstheme="minorBidi"/>
      <w:szCs w:val="22"/>
    </w:rPr>
  </w:style>
  <w:style w:type="character" w:customStyle="1" w:styleId="89">
    <w:name w:val="sugg-loading"/>
    <w:basedOn w:val="38"/>
    <w:qFormat/>
    <w:uiPriority w:val="0"/>
  </w:style>
  <w:style w:type="character" w:customStyle="1" w:styleId="90">
    <w:name w:val="批注主题 Char"/>
    <w:link w:val="34"/>
    <w:qFormat/>
    <w:locked/>
    <w:uiPriority w:val="0"/>
    <w:rPr>
      <w:rFonts w:cs="Times New Roman"/>
      <w:b/>
      <w:bCs/>
      <w:sz w:val="24"/>
      <w:szCs w:val="24"/>
    </w:rPr>
  </w:style>
  <w:style w:type="character" w:customStyle="1" w:styleId="91">
    <w:name w:val="批注主题 Char1"/>
    <w:basedOn w:val="83"/>
    <w:link w:val="34"/>
    <w:semiHidden/>
    <w:qFormat/>
    <w:uiPriority w:val="99"/>
    <w:rPr>
      <w:b/>
      <w:bCs/>
    </w:rPr>
  </w:style>
  <w:style w:type="character" w:customStyle="1" w:styleId="92">
    <w:name w:val="t_tag"/>
    <w:qFormat/>
    <w:uiPriority w:val="99"/>
    <w:rPr>
      <w:rFonts w:cs="Times New Roman"/>
    </w:rPr>
  </w:style>
  <w:style w:type="character" w:customStyle="1" w:styleId="93">
    <w:name w:val="页眉 Char"/>
    <w:link w:val="23"/>
    <w:qFormat/>
    <w:locked/>
    <w:uiPriority w:val="99"/>
    <w:rPr>
      <w:rFonts w:cs="Times New Roman"/>
      <w:sz w:val="18"/>
      <w:szCs w:val="18"/>
    </w:rPr>
  </w:style>
  <w:style w:type="character" w:customStyle="1" w:styleId="94">
    <w:name w:val="页眉 Char1"/>
    <w:basedOn w:val="38"/>
    <w:link w:val="23"/>
    <w:semiHidden/>
    <w:qFormat/>
    <w:uiPriority w:val="99"/>
    <w:rPr>
      <w:rFonts w:ascii="Times New Roman" w:hAnsi="Times New Roman" w:eastAsia="宋体" w:cs="Times New Roman"/>
      <w:sz w:val="18"/>
      <w:szCs w:val="18"/>
    </w:rPr>
  </w:style>
  <w:style w:type="character" w:customStyle="1" w:styleId="95">
    <w:name w:val="正文文本缩进 Char"/>
    <w:link w:val="14"/>
    <w:qFormat/>
    <w:locked/>
    <w:uiPriority w:val="99"/>
    <w:rPr>
      <w:rFonts w:cs="Times New Roman"/>
      <w:sz w:val="24"/>
      <w:szCs w:val="24"/>
    </w:rPr>
  </w:style>
  <w:style w:type="character" w:customStyle="1" w:styleId="96">
    <w:name w:val="正文文本缩进 Char1"/>
    <w:basedOn w:val="38"/>
    <w:link w:val="14"/>
    <w:semiHidden/>
    <w:qFormat/>
    <w:uiPriority w:val="99"/>
    <w:rPr>
      <w:rFonts w:ascii="Times New Roman" w:hAnsi="Times New Roman" w:eastAsia="宋体" w:cs="Times New Roman"/>
      <w:szCs w:val="24"/>
    </w:rPr>
  </w:style>
  <w:style w:type="character" w:customStyle="1" w:styleId="97">
    <w:name w:val="Char Char41"/>
    <w:qFormat/>
    <w:uiPriority w:val="99"/>
    <w:rPr>
      <w:rFonts w:ascii="Arial" w:hAnsi="Arial" w:eastAsia="黑体" w:cs="Times New Roman"/>
      <w:b/>
      <w:bCs/>
      <w:kern w:val="2"/>
      <w:sz w:val="32"/>
      <w:szCs w:val="32"/>
      <w:lang w:val="en-US" w:eastAsia="zh-CN" w:bidi="ar-SA"/>
    </w:rPr>
  </w:style>
  <w:style w:type="character" w:customStyle="1" w:styleId="98">
    <w:name w:val="font01"/>
    <w:qFormat/>
    <w:uiPriority w:val="0"/>
    <w:rPr>
      <w:rFonts w:hint="default" w:ascii="Times New Roman" w:hAnsi="Times New Roman" w:cs="Times New Roman"/>
      <w:color w:val="000000"/>
      <w:sz w:val="24"/>
      <w:szCs w:val="24"/>
      <w:u w:val="none"/>
    </w:rPr>
  </w:style>
  <w:style w:type="paragraph" w:customStyle="1" w:styleId="99">
    <w:name w:val="样式 宋体 小四 行距: 1.5 倍行距"/>
    <w:basedOn w:val="1"/>
    <w:qFormat/>
    <w:uiPriority w:val="99"/>
    <w:pPr>
      <w:spacing w:line="360" w:lineRule="auto"/>
      <w:ind w:firstLine="480" w:firstLineChars="200"/>
    </w:pPr>
    <w:rPr>
      <w:rFonts w:ascii="宋体" w:hAnsi="宋体"/>
      <w:sz w:val="24"/>
    </w:rPr>
  </w:style>
  <w:style w:type="character" w:customStyle="1" w:styleId="100">
    <w:name w:val="题注 Char"/>
    <w:link w:val="10"/>
    <w:qFormat/>
    <w:uiPriority w:val="0"/>
    <w:rPr>
      <w:rFonts w:ascii="Arial" w:hAnsi="Arial" w:eastAsia="黑体" w:cs="Times New Roman"/>
      <w:sz w:val="20"/>
      <w:szCs w:val="20"/>
    </w:rPr>
  </w:style>
  <w:style w:type="paragraph" w:customStyle="1" w:styleId="101">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华文细黑" w:hAnsi="华文细黑" w:eastAsia="华文细黑" w:cs="宋体"/>
      <w:kern w:val="0"/>
      <w:szCs w:val="21"/>
    </w:rPr>
  </w:style>
  <w:style w:type="paragraph" w:customStyle="1" w:styleId="102">
    <w:name w:val="gb"/>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3">
    <w:name w:val="Char"/>
    <w:basedOn w:val="1"/>
    <w:qFormat/>
    <w:uiPriority w:val="0"/>
    <w:pPr>
      <w:autoSpaceDE w:val="0"/>
      <w:autoSpaceDN w:val="0"/>
      <w:adjustRightInd w:val="0"/>
      <w:jc w:val="left"/>
    </w:pPr>
    <w:rPr>
      <w:rFonts w:ascii="Tahoma" w:hAnsi="Tahoma"/>
      <w:kern w:val="0"/>
      <w:sz w:val="24"/>
      <w:szCs w:val="20"/>
    </w:rPr>
  </w:style>
  <w:style w:type="paragraph" w:customStyle="1" w:styleId="104">
    <w:name w:val="表格"/>
    <w:qFormat/>
    <w:uiPriority w:val="0"/>
    <w:pPr>
      <w:spacing w:line="360" w:lineRule="atLeast"/>
      <w:jc w:val="center"/>
    </w:pPr>
    <w:rPr>
      <w:rFonts w:ascii="Times New Roman" w:hAnsi="Times New Roman" w:eastAsia="宋体" w:cs="Times New Roman"/>
      <w:sz w:val="21"/>
      <w:lang w:val="en-US" w:eastAsia="zh-CN" w:bidi="ar-SA"/>
    </w:rPr>
  </w:style>
  <w:style w:type="paragraph" w:customStyle="1" w:styleId="105">
    <w:name w:val="Heading 3"/>
    <w:basedOn w:val="1"/>
    <w:qFormat/>
    <w:uiPriority w:val="0"/>
    <w:pPr>
      <w:autoSpaceDE w:val="0"/>
      <w:autoSpaceDN w:val="0"/>
      <w:adjustRightInd w:val="0"/>
      <w:ind w:left="508"/>
      <w:jc w:val="left"/>
      <w:outlineLvl w:val="2"/>
    </w:pPr>
    <w:rPr>
      <w:rFonts w:ascii="黑体" w:eastAsia="黑体" w:cs="黑体"/>
      <w:kern w:val="0"/>
      <w:sz w:val="28"/>
      <w:szCs w:val="28"/>
    </w:rPr>
  </w:style>
  <w:style w:type="paragraph" w:customStyle="1" w:styleId="106">
    <w:name w:val="msolistparagraph"/>
    <w:basedOn w:val="1"/>
    <w:qFormat/>
    <w:uiPriority w:val="0"/>
    <w:pPr>
      <w:spacing w:line="360" w:lineRule="auto"/>
      <w:ind w:firstLine="420" w:firstLineChars="200"/>
    </w:pPr>
  </w:style>
  <w:style w:type="paragraph" w:customStyle="1" w:styleId="107">
    <w:name w:val="正文2"/>
    <w:basedOn w:val="1"/>
    <w:qFormat/>
    <w:uiPriority w:val="0"/>
    <w:pPr>
      <w:spacing w:beforeLines="50" w:afterLines="50" w:line="360" w:lineRule="auto"/>
      <w:ind w:firstLine="200" w:firstLineChars="200"/>
      <w:jc w:val="left"/>
    </w:pPr>
    <w:rPr>
      <w:rFonts w:ascii="宋体" w:hAnsi="宋体"/>
      <w:sz w:val="28"/>
      <w:szCs w:val="21"/>
    </w:rPr>
  </w:style>
  <w:style w:type="paragraph" w:customStyle="1" w:styleId="108">
    <w:name w:val="样式 +中文正文 行距: 1.5 倍行距 首行缩进:  2 字符"/>
    <w:basedOn w:val="1"/>
    <w:qFormat/>
    <w:uiPriority w:val="0"/>
    <w:pPr>
      <w:widowControl/>
      <w:spacing w:beforeLines="50" w:afterLines="50" w:line="360" w:lineRule="auto"/>
      <w:ind w:firstLine="480" w:firstLineChars="200"/>
      <w:jc w:val="left"/>
    </w:pPr>
    <w:rPr>
      <w:rFonts w:ascii="宋体" w:hAnsi="宋体" w:cs="宋体"/>
      <w:kern w:val="0"/>
      <w:sz w:val="24"/>
      <w:szCs w:val="20"/>
      <w:lang w:eastAsia="en-US"/>
    </w:rPr>
  </w:style>
  <w:style w:type="paragraph" w:customStyle="1" w:styleId="109">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10">
    <w:name w:val="（一）（二）"/>
    <w:basedOn w:val="1"/>
    <w:qFormat/>
    <w:uiPriority w:val="0"/>
    <w:pPr>
      <w:spacing w:line="400" w:lineRule="exact"/>
      <w:ind w:firstLine="177" w:firstLineChars="177"/>
      <w:jc w:val="left"/>
    </w:pPr>
    <w:rPr>
      <w:b/>
      <w:sz w:val="24"/>
      <w:szCs w:val="20"/>
    </w:rPr>
  </w:style>
  <w:style w:type="paragraph" w:customStyle="1" w:styleId="111">
    <w:name w:val="表头"/>
    <w:basedOn w:val="1"/>
    <w:qFormat/>
    <w:uiPriority w:val="0"/>
    <w:pPr>
      <w:widowControl/>
      <w:spacing w:beforeLines="50" w:afterLines="50" w:line="360" w:lineRule="auto"/>
      <w:ind w:firstLine="200" w:firstLineChars="200"/>
      <w:jc w:val="center"/>
    </w:pPr>
    <w:rPr>
      <w:rFonts w:ascii="Calibri" w:hAnsi="Calibri" w:eastAsia="黑体"/>
      <w:kern w:val="0"/>
      <w:sz w:val="24"/>
    </w:rPr>
  </w:style>
  <w:style w:type="paragraph" w:customStyle="1" w:styleId="112">
    <w:name w:val="biaozhun"/>
    <w:basedOn w:val="1"/>
    <w:qFormat/>
    <w:uiPriority w:val="99"/>
    <w:pPr>
      <w:widowControl/>
      <w:spacing w:before="100" w:beforeAutospacing="1" w:after="100" w:afterAutospacing="1"/>
      <w:jc w:val="left"/>
    </w:pPr>
    <w:rPr>
      <w:rFonts w:ascii="宋体" w:hAnsi="宋体" w:cs="宋体"/>
      <w:kern w:val="0"/>
      <w:sz w:val="24"/>
    </w:rPr>
  </w:style>
  <w:style w:type="paragraph" w:customStyle="1" w:styleId="113">
    <w:name w:val="Char1"/>
    <w:basedOn w:val="1"/>
    <w:qFormat/>
    <w:uiPriority w:val="0"/>
    <w:pPr>
      <w:tabs>
        <w:tab w:val="left" w:pos="360"/>
      </w:tabs>
      <w:spacing w:line="360" w:lineRule="auto"/>
      <w:ind w:firstLine="482"/>
    </w:pPr>
    <w:rPr>
      <w:rFonts w:ascii="Tahoma" w:hAnsi="Tahoma" w:eastAsia="黑体"/>
      <w:sz w:val="28"/>
      <w:szCs w:val="21"/>
    </w:rPr>
  </w:style>
  <w:style w:type="paragraph" w:customStyle="1" w:styleId="114">
    <w:name w:val="样式 小四 行距: 1.5 倍行距"/>
    <w:basedOn w:val="1"/>
    <w:qFormat/>
    <w:uiPriority w:val="99"/>
    <w:pPr>
      <w:spacing w:line="360" w:lineRule="auto"/>
      <w:ind w:firstLine="200" w:firstLineChars="200"/>
    </w:pPr>
    <w:rPr>
      <w:rFonts w:cs="宋体"/>
      <w:sz w:val="24"/>
      <w:szCs w:val="20"/>
    </w:rPr>
  </w:style>
  <w:style w:type="paragraph" w:customStyle="1" w:styleId="115">
    <w:name w:val="正文段落"/>
    <w:basedOn w:val="1"/>
    <w:qFormat/>
    <w:uiPriority w:val="99"/>
    <w:pPr>
      <w:adjustRightInd w:val="0"/>
      <w:snapToGrid w:val="0"/>
      <w:spacing w:line="360" w:lineRule="auto"/>
      <w:ind w:firstLine="200" w:firstLineChars="200"/>
    </w:pPr>
    <w:rPr>
      <w:sz w:val="24"/>
    </w:rPr>
  </w:style>
  <w:style w:type="paragraph" w:customStyle="1" w:styleId="116">
    <w:name w:val="公式"/>
    <w:basedOn w:val="1"/>
    <w:qFormat/>
    <w:uiPriority w:val="0"/>
    <w:pPr>
      <w:spacing w:beforeLines="20" w:afterLines="20" w:line="360" w:lineRule="auto"/>
      <w:ind w:firstLine="482" w:firstLineChars="200"/>
    </w:pPr>
    <w:rPr>
      <w:rFonts w:ascii="Calibri" w:hAnsi="Calibri"/>
      <w:b/>
      <w:bCs/>
      <w:sz w:val="24"/>
    </w:rPr>
  </w:style>
  <w:style w:type="paragraph" w:customStyle="1" w:styleId="117">
    <w:name w:val="p0"/>
    <w:qFormat/>
    <w:uiPriority w:val="0"/>
    <w:pPr>
      <w:ind w:firstLine="420"/>
    </w:pPr>
    <w:rPr>
      <w:rFonts w:ascii="Calibri" w:hAnsi="Calibri" w:eastAsia="宋体" w:cs="宋体"/>
      <w:sz w:val="21"/>
      <w:szCs w:val="21"/>
      <w:lang w:val="en-US" w:eastAsia="zh-CN" w:bidi="ar-SA"/>
    </w:rPr>
  </w:style>
  <w:style w:type="paragraph" w:customStyle="1" w:styleId="118">
    <w:name w:val="样式"/>
    <w:qFormat/>
    <w:uiPriority w:val="0"/>
    <w:pPr>
      <w:widowControl w:val="0"/>
      <w:autoSpaceDE w:val="0"/>
      <w:autoSpaceDN w:val="0"/>
      <w:adjustRightInd w:val="0"/>
    </w:pPr>
    <w:rPr>
      <w:rFonts w:ascii="Calibri" w:hAnsi="Calibri" w:eastAsia="宋体" w:cs="Times New Roman"/>
      <w:sz w:val="24"/>
      <w:szCs w:val="24"/>
      <w:lang w:val="en-US" w:eastAsia="zh-CN" w:bidi="ar-SA"/>
    </w:rPr>
  </w:style>
  <w:style w:type="paragraph" w:customStyle="1" w:styleId="119">
    <w:name w:val="正文 + 楷体_GB2312"/>
    <w:basedOn w:val="1"/>
    <w:qFormat/>
    <w:uiPriority w:val="99"/>
    <w:pPr>
      <w:spacing w:line="360" w:lineRule="auto"/>
    </w:pPr>
    <w:rPr>
      <w:rFonts w:ascii="楷体_GB2312" w:eastAsia="楷体_GB2312"/>
      <w:kern w:val="20"/>
      <w:sz w:val="18"/>
      <w:szCs w:val="18"/>
    </w:rPr>
  </w:style>
  <w:style w:type="paragraph" w:customStyle="1" w:styleId="120">
    <w:name w:val="Char111"/>
    <w:basedOn w:val="1"/>
    <w:qFormat/>
    <w:uiPriority w:val="0"/>
    <w:pPr>
      <w:autoSpaceDE w:val="0"/>
      <w:autoSpaceDN w:val="0"/>
      <w:adjustRightInd w:val="0"/>
      <w:jc w:val="left"/>
    </w:pPr>
    <w:rPr>
      <w:rFonts w:ascii="Tahoma" w:hAnsi="Tahoma"/>
      <w:kern w:val="0"/>
      <w:sz w:val="24"/>
      <w:szCs w:val="20"/>
    </w:rPr>
  </w:style>
  <w:style w:type="paragraph" w:customStyle="1" w:styleId="121">
    <w:name w:val="表题"/>
    <w:next w:val="1"/>
    <w:qFormat/>
    <w:uiPriority w:val="99"/>
    <w:pPr>
      <w:spacing w:beforeLines="20" w:line="420" w:lineRule="exact"/>
      <w:jc w:val="center"/>
    </w:pPr>
    <w:rPr>
      <w:rFonts w:ascii="Times New Roman" w:hAnsi="Times New Roman" w:eastAsia="黑体" w:cs="Times New Roman"/>
      <w:sz w:val="24"/>
      <w:lang w:val="en-US" w:eastAsia="zh-CN" w:bidi="ar-SA"/>
    </w:rPr>
  </w:style>
  <w:style w:type="paragraph" w:customStyle="1" w:styleId="122">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华文细黑" w:hAnsi="华文细黑" w:eastAsia="华文细黑" w:cs="宋体"/>
      <w:kern w:val="0"/>
      <w:sz w:val="22"/>
      <w:szCs w:val="22"/>
    </w:rPr>
  </w:style>
  <w:style w:type="paragraph" w:customStyle="1" w:styleId="123">
    <w:name w:val="p15"/>
    <w:basedOn w:val="1"/>
    <w:qFormat/>
    <w:uiPriority w:val="0"/>
    <w:pPr>
      <w:widowControl/>
      <w:ind w:firstLine="420"/>
    </w:pPr>
    <w:rPr>
      <w:rFonts w:ascii="Calibri" w:hAnsi="Calibri"/>
      <w:kern w:val="0"/>
      <w:szCs w:val="21"/>
    </w:rPr>
  </w:style>
  <w:style w:type="paragraph" w:customStyle="1" w:styleId="124">
    <w:name w:val="Table Paragraph"/>
    <w:basedOn w:val="1"/>
    <w:qFormat/>
    <w:uiPriority w:val="0"/>
    <w:pPr>
      <w:autoSpaceDE w:val="0"/>
      <w:autoSpaceDN w:val="0"/>
      <w:adjustRightInd w:val="0"/>
      <w:jc w:val="left"/>
    </w:pPr>
    <w:rPr>
      <w:kern w:val="0"/>
      <w:sz w:val="24"/>
    </w:rPr>
  </w:style>
  <w:style w:type="paragraph" w:customStyle="1" w:styleId="125">
    <w:name w:val="列出段落111"/>
    <w:basedOn w:val="1"/>
    <w:qFormat/>
    <w:uiPriority w:val="0"/>
    <w:pPr>
      <w:ind w:firstLine="420" w:firstLineChars="200"/>
    </w:pPr>
    <w:rPr>
      <w:rFonts w:ascii="Calibri" w:hAnsi="Calibri"/>
      <w:szCs w:val="22"/>
    </w:rPr>
  </w:style>
  <w:style w:type="paragraph" w:customStyle="1" w:styleId="12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27">
    <w:name w:val="TOC 标题1"/>
    <w:basedOn w:val="2"/>
    <w:next w:val="1"/>
    <w:qFormat/>
    <w:uiPriority w:val="99"/>
    <w:pPr>
      <w:widowControl/>
      <w:spacing w:before="480" w:after="0" w:line="276" w:lineRule="auto"/>
      <w:jc w:val="left"/>
      <w:outlineLvl w:val="9"/>
    </w:pPr>
    <w:rPr>
      <w:rFonts w:ascii="Cambria" w:hAnsi="Cambria"/>
      <w:color w:val="365F91"/>
      <w:kern w:val="0"/>
      <w:sz w:val="28"/>
      <w:szCs w:val="28"/>
    </w:rPr>
  </w:style>
  <w:style w:type="table" w:customStyle="1" w:styleId="128">
    <w:name w:val="网格型1"/>
    <w:basedOn w:val="36"/>
    <w:unhideWhenUsed/>
    <w:qFormat/>
    <w:uiPriority w:val="99"/>
    <w:rPr>
      <w:rFonts w:ascii="Calibri" w:hAnsi="Calibri" w:eastAsia="微软雅黑" w:cs="Times New Roman"/>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9">
    <w:name w:val="正文首行缩进 2 Char"/>
    <w:basedOn w:val="96"/>
    <w:link w:val="35"/>
    <w:qFormat/>
    <w:uiPriority w:val="0"/>
    <w:rPr>
      <w:rFonts w:ascii="Arial" w:hAnsi="Arial"/>
      <w:b/>
      <w:sz w:val="24"/>
    </w:rPr>
  </w:style>
  <w:style w:type="paragraph" w:customStyle="1" w:styleId="130">
    <w:name w:val="样式 行距: 单倍行距 首行缩进:  0 字符"/>
    <w:basedOn w:val="1"/>
    <w:qFormat/>
    <w:uiPriority w:val="0"/>
    <w:rPr>
      <w:rFonts w:ascii="Calibri" w:hAnsi="Calibri" w:cs="宋体"/>
      <w:szCs w:val="20"/>
    </w:rPr>
  </w:style>
  <w:style w:type="character" w:customStyle="1" w:styleId="131">
    <w:name w:val="Char Char311"/>
    <w:qFormat/>
    <w:locked/>
    <w:uiPriority w:val="0"/>
    <w:rPr>
      <w:rFonts w:ascii="Arial" w:hAnsi="Arial" w:eastAsia="黑体"/>
      <w:b/>
      <w:bCs/>
      <w:kern w:val="2"/>
      <w:sz w:val="32"/>
      <w:szCs w:val="32"/>
      <w:lang w:val="en-US" w:eastAsia="zh-CN" w:bidi="ar-SA"/>
    </w:rPr>
  </w:style>
  <w:style w:type="character" w:customStyle="1" w:styleId="132">
    <w:name w:val="Char Char211"/>
    <w:qFormat/>
    <w:locked/>
    <w:uiPriority w:val="0"/>
    <w:rPr>
      <w:rFonts w:eastAsia="宋体"/>
      <w:b/>
      <w:bCs/>
      <w:kern w:val="2"/>
      <w:sz w:val="32"/>
      <w:szCs w:val="32"/>
      <w:lang w:val="en-US" w:eastAsia="zh-CN" w:bidi="ar-SA"/>
    </w:rPr>
  </w:style>
  <w:style w:type="paragraph" w:customStyle="1" w:styleId="133">
    <w:name w:val="标题 31"/>
    <w:basedOn w:val="1"/>
    <w:qFormat/>
    <w:uiPriority w:val="0"/>
    <w:pPr>
      <w:autoSpaceDE w:val="0"/>
      <w:autoSpaceDN w:val="0"/>
      <w:adjustRightInd w:val="0"/>
      <w:ind w:left="508"/>
      <w:jc w:val="left"/>
      <w:outlineLvl w:val="2"/>
    </w:pPr>
    <w:rPr>
      <w:rFonts w:ascii="黑体" w:eastAsia="黑体" w:cs="黑体"/>
      <w:kern w:val="0"/>
      <w:sz w:val="28"/>
      <w:szCs w:val="28"/>
    </w:rPr>
  </w:style>
  <w:style w:type="paragraph" w:customStyle="1" w:styleId="134">
    <w:name w:val="列出段落2"/>
    <w:basedOn w:val="1"/>
    <w:qFormat/>
    <w:uiPriority w:val="0"/>
    <w:pPr>
      <w:ind w:firstLine="420" w:firstLineChars="200"/>
    </w:pPr>
  </w:style>
  <w:style w:type="paragraph" w:customStyle="1" w:styleId="135">
    <w:name w:val="修订11"/>
    <w:unhideWhenUsed/>
    <w:qFormat/>
    <w:uiPriority w:val="99"/>
    <w:rPr>
      <w:rFonts w:ascii="Times New Roman" w:hAnsi="Times New Roman" w:eastAsia="宋体" w:cs="Times New Roman"/>
      <w:kern w:val="2"/>
      <w:sz w:val="21"/>
      <w:szCs w:val="24"/>
      <w:lang w:val="en-US" w:eastAsia="zh-CN" w:bidi="ar-SA"/>
    </w:rPr>
  </w:style>
  <w:style w:type="paragraph" w:customStyle="1" w:styleId="136">
    <w:name w:val="列出段落11"/>
    <w:basedOn w:val="1"/>
    <w:qFormat/>
    <w:uiPriority w:val="0"/>
    <w:pPr>
      <w:ind w:firstLine="420" w:firstLineChars="200"/>
    </w:pPr>
    <w:rPr>
      <w:rFonts w:ascii="Calibri" w:hAnsi="Calibri"/>
      <w:szCs w:val="22"/>
    </w:rPr>
  </w:style>
  <w:style w:type="character" w:customStyle="1" w:styleId="137">
    <w:name w:val="Char Char31"/>
    <w:qFormat/>
    <w:locked/>
    <w:uiPriority w:val="0"/>
    <w:rPr>
      <w:rFonts w:ascii="Arial" w:hAnsi="Arial" w:eastAsia="黑体"/>
      <w:b/>
      <w:bCs/>
      <w:kern w:val="2"/>
      <w:sz w:val="32"/>
      <w:szCs w:val="32"/>
      <w:lang w:val="en-US" w:eastAsia="zh-CN" w:bidi="ar-SA"/>
    </w:rPr>
  </w:style>
  <w:style w:type="character" w:customStyle="1" w:styleId="138">
    <w:name w:val="Char Char21"/>
    <w:qFormat/>
    <w:locked/>
    <w:uiPriority w:val="0"/>
    <w:rPr>
      <w:rFonts w:eastAsia="宋体"/>
      <w:b/>
      <w:bCs/>
      <w:kern w:val="2"/>
      <w:sz w:val="32"/>
      <w:szCs w:val="32"/>
      <w:lang w:val="en-US" w:eastAsia="zh-CN" w:bidi="ar-SA"/>
    </w:rPr>
  </w:style>
  <w:style w:type="paragraph" w:customStyle="1" w:styleId="139">
    <w:name w:val="Char11"/>
    <w:basedOn w:val="1"/>
    <w:qFormat/>
    <w:uiPriority w:val="0"/>
    <w:pPr>
      <w:tabs>
        <w:tab w:val="left" w:pos="360"/>
      </w:tabs>
      <w:spacing w:line="360" w:lineRule="auto"/>
      <w:ind w:firstLine="482"/>
    </w:pPr>
    <w:rPr>
      <w:rFonts w:ascii="Tahoma" w:hAnsi="Tahoma" w:eastAsia="黑体"/>
      <w:sz w:val="28"/>
      <w:szCs w:val="21"/>
    </w:rPr>
  </w:style>
  <w:style w:type="paragraph" w:customStyle="1" w:styleId="140">
    <w:name w:val="标题 311"/>
    <w:basedOn w:val="1"/>
    <w:qFormat/>
    <w:uiPriority w:val="0"/>
    <w:pPr>
      <w:autoSpaceDE w:val="0"/>
      <w:autoSpaceDN w:val="0"/>
      <w:adjustRightInd w:val="0"/>
      <w:ind w:left="508"/>
      <w:jc w:val="left"/>
      <w:outlineLvl w:val="2"/>
    </w:pPr>
    <w:rPr>
      <w:rFonts w:ascii="黑体" w:eastAsia="黑体" w:cs="黑体"/>
      <w:kern w:val="0"/>
      <w:sz w:val="28"/>
      <w:szCs w:val="28"/>
    </w:rPr>
  </w:style>
  <w:style w:type="character" w:customStyle="1" w:styleId="141">
    <w:name w:val="Char Char32"/>
    <w:qFormat/>
    <w:locked/>
    <w:uiPriority w:val="0"/>
    <w:rPr>
      <w:rFonts w:ascii="Arial" w:hAnsi="Arial" w:eastAsia="黑体"/>
      <w:b/>
      <w:bCs/>
      <w:kern w:val="2"/>
      <w:sz w:val="32"/>
      <w:szCs w:val="32"/>
      <w:lang w:val="en-US" w:eastAsia="zh-CN" w:bidi="ar-SA"/>
    </w:rPr>
  </w:style>
  <w:style w:type="character" w:customStyle="1" w:styleId="142">
    <w:name w:val="Char Char22"/>
    <w:qFormat/>
    <w:locked/>
    <w:uiPriority w:val="0"/>
    <w:rPr>
      <w:rFonts w:eastAsia="宋体"/>
      <w:b/>
      <w:bCs/>
      <w:kern w:val="2"/>
      <w:sz w:val="32"/>
      <w:szCs w:val="32"/>
      <w:lang w:val="en-US" w:eastAsia="zh-CN" w:bidi="ar-SA"/>
    </w:rPr>
  </w:style>
  <w:style w:type="paragraph" w:customStyle="1" w:styleId="143">
    <w:name w:val="列出段落3"/>
    <w:basedOn w:val="1"/>
    <w:qFormat/>
    <w:uiPriority w:val="0"/>
    <w:pPr>
      <w:ind w:firstLine="420" w:firstLineChars="200"/>
    </w:pPr>
  </w:style>
  <w:style w:type="paragraph" w:customStyle="1" w:styleId="144">
    <w:name w:val="标题 32"/>
    <w:basedOn w:val="1"/>
    <w:qFormat/>
    <w:uiPriority w:val="0"/>
    <w:pPr>
      <w:autoSpaceDE w:val="0"/>
      <w:autoSpaceDN w:val="0"/>
      <w:adjustRightInd w:val="0"/>
      <w:ind w:left="508"/>
      <w:jc w:val="left"/>
      <w:outlineLvl w:val="2"/>
    </w:pPr>
    <w:rPr>
      <w:rFonts w:ascii="黑体" w:eastAsia="黑体" w:cs="黑体"/>
      <w:kern w:val="0"/>
      <w:sz w:val="28"/>
      <w:szCs w:val="28"/>
    </w:rPr>
  </w:style>
  <w:style w:type="paragraph" w:customStyle="1" w:styleId="145">
    <w:name w:val="Char12"/>
    <w:basedOn w:val="1"/>
    <w:qFormat/>
    <w:uiPriority w:val="0"/>
    <w:pPr>
      <w:tabs>
        <w:tab w:val="left" w:pos="360"/>
      </w:tabs>
      <w:spacing w:line="360" w:lineRule="auto"/>
      <w:ind w:firstLine="482"/>
    </w:pPr>
    <w:rPr>
      <w:rFonts w:ascii="Tahoma" w:hAnsi="Tahoma" w:eastAsia="黑体"/>
      <w:sz w:val="28"/>
      <w:szCs w:val="21"/>
    </w:rPr>
  </w:style>
  <w:style w:type="paragraph" w:customStyle="1" w:styleId="146">
    <w:name w:val="WPSOffice手动目录 1"/>
    <w:qFormat/>
    <w:uiPriority w:val="0"/>
    <w:pPr>
      <w:ind w:leftChars="0"/>
    </w:pPr>
    <w:rPr>
      <w:rFonts w:ascii="Times New Roman" w:hAnsi="Times New Roman" w:eastAsia="宋体" w:cs="Times New Roman"/>
      <w:sz w:val="20"/>
      <w:szCs w:val="20"/>
    </w:rPr>
  </w:style>
  <w:style w:type="paragraph" w:customStyle="1" w:styleId="147">
    <w:name w:val="WPSOffice手动目录 2"/>
    <w:qFormat/>
    <w:uiPriority w:val="0"/>
    <w:pPr>
      <w:ind w:leftChars="200"/>
    </w:pPr>
    <w:rPr>
      <w:rFonts w:ascii="Times New Roman" w:hAnsi="Times New Roman" w:eastAsia="宋体" w:cs="Times New Roman"/>
      <w:sz w:val="20"/>
      <w:szCs w:val="20"/>
    </w:rPr>
  </w:style>
  <w:style w:type="character" w:customStyle="1" w:styleId="148">
    <w:name w:val="font31"/>
    <w:basedOn w:val="38"/>
    <w:qFormat/>
    <w:uiPriority w:val="0"/>
    <w:rPr>
      <w:rFonts w:hint="eastAsia" w:ascii="宋体" w:hAnsi="宋体" w:eastAsia="宋体" w:cs="宋体"/>
      <w:color w:val="000000"/>
      <w:sz w:val="24"/>
      <w:szCs w:val="24"/>
      <w:u w:val="none"/>
    </w:rPr>
  </w:style>
  <w:style w:type="character" w:customStyle="1" w:styleId="149">
    <w:name w:val="font21"/>
    <w:basedOn w:val="38"/>
    <w:qFormat/>
    <w:uiPriority w:val="0"/>
    <w:rPr>
      <w:rFonts w:ascii="Calibri" w:hAnsi="Calibri" w:cs="Calibri"/>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8</Pages>
  <Words>5750</Words>
  <Characters>6269</Characters>
  <Lines>0</Lines>
  <Paragraphs>0</Paragraphs>
  <TotalTime>3</TotalTime>
  <ScaleCrop>false</ScaleCrop>
  <LinksUpToDate>false</LinksUpToDate>
  <CharactersWithSpaces>6314</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2018-02-20T23:36:00Z</dcterms:created>
  <dc:creator>Abu设计</dc:creator>
  <dc:description>更多Abu设计的信纸请访问
http://chn.docer.com/works?userid=415014680
谢谢支持</dc:description>
  <cp:keywords>信纸 信笺背景</cp:keywords>
  <cp:lastModifiedBy>xjkp</cp:lastModifiedBy>
  <cp:lastPrinted>2022-11-01T21:19:00Z</cp:lastPrinted>
  <dcterms:modified xsi:type="dcterms:W3CDTF">2023-03-03T10:04:20Z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9A444435032C49229A020BE806D0523D</vt:lpwstr>
  </property>
</Properties>
</file>